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6E0D9">
      <w:pPr>
        <w:pStyle w:val="5"/>
        <w:jc w:val="both"/>
        <w:rPr>
          <w:rFonts w:hint="eastAsia" w:eastAsia="黑体"/>
          <w:lang w:val="en-US" w:eastAsia="zh-CN"/>
        </w:rPr>
      </w:pPr>
      <w:r>
        <w:rPr>
          <w:rFonts w:hint="eastAsia"/>
          <w:lang w:val="en-US" w:eastAsia="zh-CN"/>
        </w:rPr>
        <w:t>附件：</w:t>
      </w:r>
    </w:p>
    <w:p w14:paraId="52A8CF75">
      <w:pPr>
        <w:pStyle w:val="5"/>
        <w:jc w:val="center"/>
        <w:rPr>
          <w:lang w:val="zh-CN"/>
        </w:rPr>
      </w:pPr>
      <w:r>
        <w:rPr>
          <w:rFonts w:hint="eastAsia"/>
          <w:lang w:val="zh-CN"/>
        </w:rPr>
        <w:t>评分</w:t>
      </w:r>
      <w:r>
        <w:rPr>
          <w:lang w:val="zh-CN"/>
        </w:rPr>
        <w:t>标准</w:t>
      </w:r>
    </w:p>
    <w:p w14:paraId="7921EB18">
      <w:pPr>
        <w:spacing w:line="360" w:lineRule="auto"/>
        <w:ind w:firstLine="482"/>
      </w:pPr>
      <w:r>
        <w:rPr>
          <w:rFonts w:hint="eastAsia" w:ascii="宋体" w:hAnsi="宋体" w:cs="宋体"/>
          <w:b/>
          <w:sz w:val="24"/>
          <w:szCs w:val="24"/>
          <w:lang w:val="zh-CN"/>
        </w:rPr>
        <w:t>采用综合评分法</w:t>
      </w:r>
      <w:r>
        <w:rPr>
          <w:rFonts w:hint="eastAsia" w:ascii="宋体" w:hAnsi="宋体" w:cs="宋体"/>
          <w:sz w:val="24"/>
          <w:szCs w:val="24"/>
          <w:lang w:val="zh-CN"/>
        </w:rPr>
        <w:t>。在符合第一章申请人资格的前提下</w:t>
      </w:r>
      <w:r>
        <w:rPr>
          <w:rFonts w:ascii="宋体" w:hAnsi="宋体" w:cs="宋体"/>
          <w:sz w:val="24"/>
          <w:szCs w:val="24"/>
          <w:lang w:val="zh-CN"/>
        </w:rPr>
        <w:t>，按照磋商文件中规定的各项因素进行综合评审后，以评审总得分最高的供应商作为成交候选供应商或者成交供应商的评分方法</w:t>
      </w:r>
      <w:r>
        <w:rPr>
          <w:rFonts w:hint="eastAsia" w:ascii="宋体" w:hAnsi="宋体" w:cs="宋体"/>
          <w:sz w:val="24"/>
          <w:szCs w:val="24"/>
          <w:lang w:val="zh-CN"/>
        </w:rPr>
        <w:t>。具体的评分细则见下表。</w:t>
      </w:r>
    </w:p>
    <w:tbl>
      <w:tblPr>
        <w:tblStyle w:val="3"/>
        <w:tblW w:w="4876"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8" w:type="dxa"/>
          <w:bottom w:w="100" w:type="dxa"/>
          <w:right w:w="108" w:type="dxa"/>
        </w:tblCellMar>
      </w:tblPr>
      <w:tblGrid>
        <w:gridCol w:w="698"/>
        <w:gridCol w:w="456"/>
        <w:gridCol w:w="1165"/>
        <w:gridCol w:w="5474"/>
        <w:gridCol w:w="1265"/>
      </w:tblGrid>
      <w:tr w14:paraId="087E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756" w:hRule="atLeast"/>
        </w:trPr>
        <w:tc>
          <w:tcPr>
            <w:tcW w:w="698" w:type="dxa"/>
            <w:noWrap/>
            <w:tcMar>
              <w:top w:w="100" w:type="dxa"/>
              <w:bottom w:w="100" w:type="dxa"/>
            </w:tcMar>
            <w:vAlign w:val="center"/>
          </w:tcPr>
          <w:p w14:paraId="5BBF5DEF">
            <w:pPr>
              <w:pStyle w:val="6"/>
              <w:jc w:val="center"/>
              <w:rPr>
                <w:rStyle w:val="7"/>
                <w:rFonts w:ascii="宋体" w:hAnsi="宋体" w:eastAsia="宋体" w:cs="宋体"/>
                <w:sz w:val="21"/>
              </w:rPr>
            </w:pPr>
            <w:r>
              <w:rPr>
                <w:rStyle w:val="7"/>
                <w:rFonts w:ascii="宋体" w:hAnsi="宋体" w:eastAsia="宋体" w:cs="宋体"/>
                <w:sz w:val="21"/>
              </w:rPr>
              <w:t>序号</w:t>
            </w:r>
          </w:p>
        </w:tc>
        <w:tc>
          <w:tcPr>
            <w:tcW w:w="1621" w:type="dxa"/>
            <w:gridSpan w:val="2"/>
            <w:noWrap/>
            <w:tcMar>
              <w:top w:w="100" w:type="dxa"/>
              <w:bottom w:w="100" w:type="dxa"/>
            </w:tcMar>
            <w:vAlign w:val="center"/>
          </w:tcPr>
          <w:p w14:paraId="74A1EB31">
            <w:pPr>
              <w:pStyle w:val="6"/>
              <w:jc w:val="center"/>
              <w:rPr>
                <w:rStyle w:val="7"/>
                <w:rFonts w:ascii="宋体" w:hAnsi="宋体" w:eastAsia="宋体" w:cs="宋体"/>
                <w:sz w:val="21"/>
              </w:rPr>
            </w:pPr>
            <w:r>
              <w:rPr>
                <w:rStyle w:val="7"/>
                <w:rFonts w:ascii="宋体" w:hAnsi="宋体" w:eastAsia="宋体" w:cs="宋体"/>
                <w:sz w:val="21"/>
              </w:rPr>
              <w:t>评审因素</w:t>
            </w:r>
          </w:p>
        </w:tc>
        <w:tc>
          <w:tcPr>
            <w:tcW w:w="5474" w:type="dxa"/>
            <w:noWrap/>
            <w:tcMar>
              <w:top w:w="100" w:type="dxa"/>
              <w:bottom w:w="100" w:type="dxa"/>
            </w:tcMar>
            <w:vAlign w:val="center"/>
          </w:tcPr>
          <w:p w14:paraId="28DC6F9A">
            <w:pPr>
              <w:pStyle w:val="6"/>
              <w:jc w:val="center"/>
              <w:rPr>
                <w:rStyle w:val="7"/>
                <w:rFonts w:ascii="宋体" w:hAnsi="宋体" w:eastAsia="宋体" w:cs="宋体"/>
                <w:sz w:val="21"/>
              </w:rPr>
            </w:pPr>
            <w:bookmarkStart w:id="0" w:name="_GoBack"/>
            <w:bookmarkEnd w:id="0"/>
            <w:r>
              <w:rPr>
                <w:rStyle w:val="7"/>
                <w:rFonts w:ascii="宋体" w:hAnsi="宋体" w:eastAsia="宋体" w:cs="宋体"/>
                <w:sz w:val="21"/>
              </w:rPr>
              <w:t>评审细则</w:t>
            </w:r>
          </w:p>
        </w:tc>
        <w:tc>
          <w:tcPr>
            <w:tcW w:w="1265" w:type="dxa"/>
            <w:noWrap/>
            <w:tcMar>
              <w:top w:w="100" w:type="dxa"/>
              <w:bottom w:w="100" w:type="dxa"/>
            </w:tcMar>
            <w:vAlign w:val="center"/>
          </w:tcPr>
          <w:p w14:paraId="06B9588B">
            <w:pPr>
              <w:pStyle w:val="6"/>
              <w:jc w:val="center"/>
              <w:rPr>
                <w:rStyle w:val="7"/>
                <w:rFonts w:ascii="宋体" w:hAnsi="宋体" w:eastAsia="宋体" w:cs="宋体"/>
                <w:sz w:val="21"/>
              </w:rPr>
            </w:pPr>
            <w:r>
              <w:rPr>
                <w:rStyle w:val="7"/>
                <w:rFonts w:ascii="宋体" w:hAnsi="宋体" w:eastAsia="宋体" w:cs="宋体"/>
                <w:sz w:val="21"/>
              </w:rPr>
              <w:t>分值</w:t>
            </w:r>
          </w:p>
        </w:tc>
      </w:tr>
      <w:tr w14:paraId="2840D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756" w:hRule="atLeast"/>
        </w:trPr>
        <w:tc>
          <w:tcPr>
            <w:tcW w:w="7793" w:type="dxa"/>
            <w:gridSpan w:val="4"/>
            <w:noWrap/>
            <w:tcMar>
              <w:top w:w="100" w:type="dxa"/>
              <w:bottom w:w="100" w:type="dxa"/>
            </w:tcMar>
            <w:vAlign w:val="center"/>
          </w:tcPr>
          <w:p w14:paraId="45114363">
            <w:pPr>
              <w:pStyle w:val="6"/>
              <w:jc w:val="center"/>
              <w:rPr>
                <w:rStyle w:val="7"/>
                <w:rFonts w:ascii="宋体" w:hAnsi="宋体" w:eastAsia="宋体" w:cs="宋体"/>
                <w:sz w:val="21"/>
              </w:rPr>
            </w:pPr>
            <w:r>
              <w:rPr>
                <w:rStyle w:val="7"/>
                <w:rFonts w:ascii="宋体" w:hAnsi="宋体" w:eastAsia="宋体" w:cs="宋体"/>
                <w:sz w:val="21"/>
              </w:rPr>
              <w:t>一、商务评估</w:t>
            </w:r>
          </w:p>
        </w:tc>
        <w:tc>
          <w:tcPr>
            <w:tcW w:w="1265" w:type="dxa"/>
            <w:noWrap/>
            <w:tcMar>
              <w:top w:w="100" w:type="dxa"/>
              <w:bottom w:w="100" w:type="dxa"/>
            </w:tcMar>
            <w:vAlign w:val="center"/>
          </w:tcPr>
          <w:p w14:paraId="44849069">
            <w:pPr>
              <w:pStyle w:val="6"/>
              <w:jc w:val="center"/>
              <w:rPr>
                <w:rStyle w:val="7"/>
                <w:rFonts w:ascii="宋体" w:hAnsi="宋体" w:eastAsia="宋体" w:cs="宋体"/>
                <w:sz w:val="21"/>
              </w:rPr>
            </w:pPr>
            <w:r>
              <w:rPr>
                <w:rStyle w:val="7"/>
                <w:rFonts w:hint="eastAsia" w:ascii="宋体" w:hAnsi="宋体" w:eastAsia="宋体" w:cs="宋体"/>
                <w:sz w:val="21"/>
                <w:lang w:val="en-US" w:eastAsia="zh-CN"/>
              </w:rPr>
              <w:t>4</w:t>
            </w:r>
            <w:r>
              <w:rPr>
                <w:rStyle w:val="7"/>
                <w:rFonts w:ascii="宋体" w:hAnsi="宋体" w:eastAsia="宋体" w:cs="宋体"/>
                <w:sz w:val="21"/>
              </w:rPr>
              <w:t>.0分</w:t>
            </w:r>
          </w:p>
        </w:tc>
      </w:tr>
      <w:tr w14:paraId="2623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523" w:hRule="atLeast"/>
        </w:trPr>
        <w:tc>
          <w:tcPr>
            <w:tcW w:w="698" w:type="dxa"/>
            <w:noWrap/>
            <w:tcMar>
              <w:top w:w="100" w:type="dxa"/>
              <w:bottom w:w="100" w:type="dxa"/>
            </w:tcMar>
            <w:vAlign w:val="center"/>
          </w:tcPr>
          <w:p w14:paraId="231BB593">
            <w:pPr>
              <w:pStyle w:val="6"/>
              <w:jc w:val="center"/>
              <w:rPr>
                <w:rStyle w:val="7"/>
                <w:rFonts w:ascii="宋体" w:hAnsi="宋体" w:eastAsia="宋体" w:cs="宋体"/>
                <w:sz w:val="21"/>
              </w:rPr>
            </w:pPr>
            <w:r>
              <w:rPr>
                <w:rStyle w:val="7"/>
                <w:rFonts w:ascii="宋体" w:hAnsi="宋体" w:eastAsia="宋体" w:cs="宋体"/>
                <w:sz w:val="21"/>
              </w:rPr>
              <w:t>1.1</w:t>
            </w:r>
          </w:p>
        </w:tc>
        <w:tc>
          <w:tcPr>
            <w:tcW w:w="1621" w:type="dxa"/>
            <w:gridSpan w:val="2"/>
            <w:noWrap/>
            <w:tcMar>
              <w:top w:w="100" w:type="dxa"/>
              <w:bottom w:w="100" w:type="dxa"/>
            </w:tcMar>
            <w:vAlign w:val="center"/>
          </w:tcPr>
          <w:p w14:paraId="2B8E00B6">
            <w:pPr>
              <w:pStyle w:val="6"/>
              <w:jc w:val="center"/>
              <w:rPr>
                <w:rStyle w:val="7"/>
                <w:rFonts w:ascii="宋体" w:hAnsi="宋体" w:eastAsia="宋体" w:cs="宋体"/>
                <w:sz w:val="21"/>
              </w:rPr>
            </w:pPr>
            <w:r>
              <w:rPr>
                <w:rStyle w:val="7"/>
                <w:rFonts w:ascii="宋体" w:hAnsi="宋体" w:eastAsia="宋体" w:cs="宋体"/>
                <w:sz w:val="21"/>
              </w:rPr>
              <w:t>业绩</w:t>
            </w:r>
          </w:p>
        </w:tc>
        <w:tc>
          <w:tcPr>
            <w:tcW w:w="5474" w:type="dxa"/>
            <w:noWrap/>
            <w:tcMar>
              <w:top w:w="100" w:type="dxa"/>
              <w:bottom w:w="100" w:type="dxa"/>
            </w:tcMar>
            <w:vAlign w:val="center"/>
          </w:tcPr>
          <w:p w14:paraId="3568985D">
            <w:pPr>
              <w:pStyle w:val="6"/>
              <w:rPr>
                <w:rStyle w:val="7"/>
                <w:rFonts w:ascii="宋体" w:hAnsi="宋体" w:eastAsia="宋体" w:cs="宋体"/>
                <w:sz w:val="21"/>
              </w:rPr>
            </w:pPr>
            <w:r>
              <w:rPr>
                <w:rStyle w:val="7"/>
                <w:rFonts w:ascii="宋体" w:hAnsi="宋体" w:eastAsia="宋体" w:cs="宋体"/>
                <w:sz w:val="21"/>
              </w:rPr>
              <w:t>供应商自</w:t>
            </w:r>
            <w:r>
              <w:rPr>
                <w:rStyle w:val="7"/>
                <w:rFonts w:hint="eastAsia" w:ascii="宋体" w:hAnsi="宋体" w:eastAsia="宋体" w:cs="宋体"/>
                <w:sz w:val="21"/>
              </w:rPr>
              <w:t>近</w:t>
            </w:r>
            <w:r>
              <w:rPr>
                <w:rStyle w:val="7"/>
                <w:rFonts w:hint="eastAsia" w:ascii="宋体" w:hAnsi="宋体" w:eastAsia="宋体" w:cs="宋体"/>
                <w:sz w:val="21"/>
                <w:lang w:val="en-US" w:eastAsia="zh-CN"/>
              </w:rPr>
              <w:t>三</w:t>
            </w:r>
            <w:r>
              <w:rPr>
                <w:rStyle w:val="7"/>
                <w:rFonts w:hint="eastAsia" w:ascii="宋体" w:hAnsi="宋体" w:eastAsia="宋体" w:cs="宋体"/>
                <w:sz w:val="21"/>
              </w:rPr>
              <w:t>年</w:t>
            </w:r>
            <w:r>
              <w:rPr>
                <w:rStyle w:val="7"/>
                <w:rFonts w:ascii="宋体" w:hAnsi="宋体" w:eastAsia="宋体" w:cs="宋体"/>
                <w:sz w:val="21"/>
              </w:rPr>
              <w:t>以来承担过类似工程造价</w:t>
            </w:r>
            <w:r>
              <w:rPr>
                <w:rStyle w:val="7"/>
                <w:rFonts w:hint="eastAsia" w:ascii="宋体" w:hAnsi="宋体" w:eastAsia="宋体" w:cs="宋体"/>
                <w:sz w:val="21"/>
              </w:rPr>
              <w:t>80万元及以上的改造</w:t>
            </w:r>
            <w:r>
              <w:rPr>
                <w:rStyle w:val="7"/>
                <w:rFonts w:ascii="宋体" w:hAnsi="宋体" w:eastAsia="宋体" w:cs="宋体"/>
                <w:sz w:val="21"/>
              </w:rPr>
              <w:t>工程的，有一项得</w:t>
            </w:r>
            <w:r>
              <w:rPr>
                <w:rStyle w:val="7"/>
                <w:rFonts w:hint="eastAsia" w:ascii="宋体" w:hAnsi="宋体" w:eastAsia="宋体" w:cs="宋体"/>
                <w:sz w:val="21"/>
              </w:rPr>
              <w:t>2</w:t>
            </w:r>
            <w:r>
              <w:rPr>
                <w:rStyle w:val="7"/>
                <w:rFonts w:ascii="宋体" w:hAnsi="宋体" w:eastAsia="宋体" w:cs="宋体"/>
                <w:sz w:val="21"/>
              </w:rPr>
              <w:t>分，最多得</w:t>
            </w:r>
            <w:r>
              <w:rPr>
                <w:rStyle w:val="7"/>
                <w:rFonts w:hint="eastAsia" w:ascii="宋体" w:hAnsi="宋体" w:eastAsia="宋体" w:cs="宋体"/>
                <w:sz w:val="21"/>
              </w:rPr>
              <w:t>2</w:t>
            </w:r>
            <w:r>
              <w:rPr>
                <w:rStyle w:val="7"/>
                <w:rFonts w:ascii="宋体" w:hAnsi="宋体" w:eastAsia="宋体" w:cs="宋体"/>
                <w:sz w:val="21"/>
              </w:rPr>
              <w:t>分。</w:t>
            </w:r>
          </w:p>
          <w:p w14:paraId="104ED6CC">
            <w:pPr>
              <w:pStyle w:val="6"/>
              <w:rPr>
                <w:rStyle w:val="7"/>
                <w:rFonts w:ascii="宋体" w:hAnsi="宋体" w:eastAsia="宋体" w:cs="宋体"/>
                <w:sz w:val="21"/>
              </w:rPr>
            </w:pPr>
            <w:r>
              <w:rPr>
                <w:rStyle w:val="7"/>
                <w:rFonts w:ascii="宋体" w:hAnsi="宋体" w:eastAsia="宋体" w:cs="宋体"/>
                <w:sz w:val="21"/>
              </w:rPr>
              <w:t>说明：①类似工程时间以工程竣工验收证明为准。②类似工程为招标工程：须提供施工合同、工程竣工验收证明、中标通知书，缺一无效；</w:t>
            </w:r>
          </w:p>
        </w:tc>
        <w:tc>
          <w:tcPr>
            <w:tcW w:w="1265" w:type="dxa"/>
            <w:noWrap/>
            <w:tcMar>
              <w:top w:w="100" w:type="dxa"/>
              <w:bottom w:w="100" w:type="dxa"/>
            </w:tcMar>
            <w:vAlign w:val="center"/>
          </w:tcPr>
          <w:p w14:paraId="765F7184">
            <w:pPr>
              <w:pStyle w:val="6"/>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6CA7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523" w:hRule="atLeast"/>
        </w:trPr>
        <w:tc>
          <w:tcPr>
            <w:tcW w:w="698" w:type="dxa"/>
            <w:noWrap/>
            <w:tcMar>
              <w:top w:w="100" w:type="dxa"/>
              <w:bottom w:w="100" w:type="dxa"/>
            </w:tcMar>
            <w:vAlign w:val="center"/>
          </w:tcPr>
          <w:p w14:paraId="3B60FB7D">
            <w:pPr>
              <w:pStyle w:val="6"/>
              <w:jc w:val="center"/>
              <w:rPr>
                <w:rStyle w:val="7"/>
                <w:rFonts w:ascii="宋体" w:hAnsi="宋体" w:eastAsia="宋体" w:cs="宋体"/>
                <w:sz w:val="21"/>
              </w:rPr>
            </w:pPr>
            <w:r>
              <w:rPr>
                <w:rStyle w:val="7"/>
                <w:rFonts w:hint="eastAsia" w:ascii="宋体" w:hAnsi="宋体" w:eastAsia="宋体" w:cs="宋体"/>
                <w:sz w:val="21"/>
              </w:rPr>
              <w:t>1.2</w:t>
            </w:r>
          </w:p>
        </w:tc>
        <w:tc>
          <w:tcPr>
            <w:tcW w:w="1621" w:type="dxa"/>
            <w:gridSpan w:val="2"/>
            <w:noWrap/>
            <w:tcMar>
              <w:top w:w="100" w:type="dxa"/>
              <w:bottom w:w="100" w:type="dxa"/>
            </w:tcMar>
            <w:vAlign w:val="center"/>
          </w:tcPr>
          <w:p w14:paraId="26825680">
            <w:pPr>
              <w:pStyle w:val="6"/>
              <w:jc w:val="center"/>
              <w:rPr>
                <w:rStyle w:val="7"/>
                <w:rFonts w:ascii="宋体" w:hAnsi="宋体" w:eastAsia="宋体" w:cs="宋体"/>
                <w:sz w:val="21"/>
              </w:rPr>
            </w:pPr>
            <w:r>
              <w:rPr>
                <w:rStyle w:val="7"/>
                <w:rFonts w:ascii="宋体" w:hAnsi="宋体" w:eastAsia="宋体" w:cs="宋体"/>
                <w:sz w:val="21"/>
              </w:rPr>
              <w:t>信用评价</w:t>
            </w:r>
          </w:p>
        </w:tc>
        <w:tc>
          <w:tcPr>
            <w:tcW w:w="5474" w:type="dxa"/>
            <w:noWrap/>
            <w:tcMar>
              <w:top w:w="100" w:type="dxa"/>
              <w:bottom w:w="100" w:type="dxa"/>
            </w:tcMar>
            <w:vAlign w:val="center"/>
          </w:tcPr>
          <w:p w14:paraId="4B383926">
            <w:pPr>
              <w:pStyle w:val="2"/>
              <w:adjustRightInd w:val="0"/>
              <w:snapToGrid w:val="0"/>
              <w:spacing w:before="0" w:beforeAutospacing="0" w:after="0" w:afterAutospacing="0"/>
              <w:jc w:val="both"/>
              <w:rPr>
                <w:rStyle w:val="7"/>
                <w:rFonts w:hint="eastAsia"/>
                <w:sz w:val="21"/>
              </w:rPr>
            </w:pPr>
            <w:r>
              <w:rPr>
                <w:rStyle w:val="7"/>
                <w:rFonts w:hint="eastAsia"/>
                <w:sz w:val="21"/>
              </w:rPr>
              <w:t>投标人（施工企业）市场信用评价得分根据投标截止时市住建局网站公布的当时段建筑业企业信用评价结果，按照信用等级折算相应信用得分，信用等级A级得</w:t>
            </w:r>
            <w:r>
              <w:rPr>
                <w:rStyle w:val="7"/>
                <w:rFonts w:hint="eastAsia"/>
                <w:sz w:val="21"/>
                <w:lang w:val="en-US" w:eastAsia="zh-CN"/>
              </w:rPr>
              <w:t>2</w:t>
            </w:r>
            <w:r>
              <w:rPr>
                <w:rStyle w:val="7"/>
                <w:rFonts w:hint="eastAsia"/>
                <w:sz w:val="21"/>
              </w:rPr>
              <w:t>分，B级得</w:t>
            </w:r>
            <w:r>
              <w:rPr>
                <w:rStyle w:val="7"/>
                <w:rFonts w:hint="eastAsia"/>
                <w:sz w:val="21"/>
                <w:lang w:val="en-US" w:eastAsia="zh-CN"/>
              </w:rPr>
              <w:t>1.6</w:t>
            </w:r>
            <w:r>
              <w:rPr>
                <w:rStyle w:val="7"/>
                <w:rFonts w:hint="eastAsia"/>
                <w:sz w:val="21"/>
              </w:rPr>
              <w:t>分，C级得</w:t>
            </w:r>
            <w:r>
              <w:rPr>
                <w:rStyle w:val="7"/>
                <w:rFonts w:hint="eastAsia"/>
                <w:sz w:val="21"/>
                <w:lang w:val="en-US" w:eastAsia="zh-CN"/>
              </w:rPr>
              <w:t>1.2</w:t>
            </w:r>
            <w:r>
              <w:rPr>
                <w:rStyle w:val="7"/>
                <w:rFonts w:hint="eastAsia"/>
                <w:sz w:val="21"/>
              </w:rPr>
              <w:t>分，D级得</w:t>
            </w:r>
            <w:r>
              <w:rPr>
                <w:rStyle w:val="7"/>
                <w:rFonts w:hint="eastAsia"/>
                <w:sz w:val="21"/>
                <w:lang w:val="en-US" w:eastAsia="zh-CN"/>
              </w:rPr>
              <w:t>0.8</w:t>
            </w:r>
            <w:r>
              <w:rPr>
                <w:rStyle w:val="7"/>
                <w:rFonts w:hint="eastAsia"/>
                <w:sz w:val="21"/>
              </w:rPr>
              <w:t>分，E级得0分。</w:t>
            </w:r>
          </w:p>
          <w:p w14:paraId="478D7790">
            <w:pPr>
              <w:pStyle w:val="2"/>
              <w:adjustRightInd w:val="0"/>
              <w:snapToGrid w:val="0"/>
              <w:spacing w:before="0" w:beforeAutospacing="0" w:after="0" w:afterAutospacing="0"/>
              <w:jc w:val="both"/>
              <w:rPr>
                <w:rStyle w:val="7"/>
                <w:rFonts w:hint="eastAsia"/>
                <w:sz w:val="21"/>
              </w:rPr>
            </w:pPr>
            <w:r>
              <w:rPr>
                <w:rStyle w:val="7"/>
                <w:rFonts w:hint="eastAsia"/>
                <w:sz w:val="21"/>
              </w:rPr>
              <w:t>备注：</w:t>
            </w:r>
          </w:p>
          <w:p w14:paraId="76861555">
            <w:pPr>
              <w:pStyle w:val="2"/>
              <w:adjustRightInd w:val="0"/>
              <w:snapToGrid w:val="0"/>
              <w:spacing w:before="0" w:beforeAutospacing="0" w:after="0" w:afterAutospacing="0"/>
              <w:jc w:val="both"/>
              <w:rPr>
                <w:rStyle w:val="7"/>
                <w:rFonts w:hint="eastAsia"/>
                <w:sz w:val="21"/>
              </w:rPr>
            </w:pPr>
            <w:r>
              <w:rPr>
                <w:rStyle w:val="7"/>
                <w:rFonts w:hint="eastAsia"/>
                <w:sz w:val="21"/>
              </w:rPr>
              <w:t>（1）投标截止时，市住建局网站公布的当时段建筑业企业信用评价结果中无投标人信用评价数据的，信用评价得分为0分；</w:t>
            </w:r>
          </w:p>
          <w:p w14:paraId="47F10E9F">
            <w:pPr>
              <w:pStyle w:val="2"/>
              <w:adjustRightInd w:val="0"/>
              <w:snapToGrid w:val="0"/>
              <w:spacing w:before="0" w:beforeAutospacing="0" w:after="0" w:afterAutospacing="0"/>
              <w:jc w:val="both"/>
              <w:rPr>
                <w:rStyle w:val="7"/>
                <w:sz w:val="21"/>
              </w:rPr>
            </w:pPr>
            <w:r>
              <w:rPr>
                <w:rStyle w:val="7"/>
                <w:rFonts w:hint="eastAsia"/>
                <w:sz w:val="21"/>
              </w:rPr>
              <w:t>（2）以联合体形式投标的，信用得分按照联合体各成员中最高等级折算得分计算。</w:t>
            </w:r>
          </w:p>
        </w:tc>
        <w:tc>
          <w:tcPr>
            <w:tcW w:w="1265" w:type="dxa"/>
            <w:noWrap/>
            <w:tcMar>
              <w:top w:w="100" w:type="dxa"/>
              <w:bottom w:w="100" w:type="dxa"/>
            </w:tcMar>
            <w:vAlign w:val="center"/>
          </w:tcPr>
          <w:p w14:paraId="714DC40A">
            <w:pPr>
              <w:pStyle w:val="6"/>
              <w:jc w:val="center"/>
              <w:rPr>
                <w:rStyle w:val="7"/>
                <w:rFonts w:hint="eastAsia" w:ascii="宋体" w:hAnsi="宋体" w:eastAsia="宋体" w:cs="宋体"/>
                <w:sz w:val="21"/>
              </w:rPr>
            </w:pPr>
            <w:r>
              <w:rPr>
                <w:rStyle w:val="7"/>
                <w:rFonts w:hint="eastAsia" w:ascii="宋体" w:hAnsi="宋体" w:eastAsia="宋体" w:cs="宋体"/>
                <w:sz w:val="21"/>
                <w:lang w:val="en-US" w:eastAsia="zh-CN"/>
              </w:rPr>
              <w:t>2</w:t>
            </w:r>
            <w:r>
              <w:rPr>
                <w:rStyle w:val="7"/>
                <w:rFonts w:hint="eastAsia" w:ascii="宋体" w:hAnsi="宋体" w:eastAsia="宋体" w:cs="宋体"/>
                <w:sz w:val="21"/>
              </w:rPr>
              <w:t>.0分</w:t>
            </w:r>
          </w:p>
        </w:tc>
      </w:tr>
      <w:tr w14:paraId="0E4D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483" w:hRule="atLeast"/>
        </w:trPr>
        <w:tc>
          <w:tcPr>
            <w:tcW w:w="698" w:type="dxa"/>
            <w:noWrap/>
            <w:tcMar>
              <w:top w:w="100" w:type="dxa"/>
              <w:bottom w:w="100" w:type="dxa"/>
            </w:tcMar>
            <w:vAlign w:val="center"/>
          </w:tcPr>
          <w:p w14:paraId="6ED22F65">
            <w:pPr>
              <w:pStyle w:val="8"/>
              <w:jc w:val="center"/>
              <w:rPr>
                <w:rStyle w:val="7"/>
                <w:rFonts w:ascii="宋体" w:hAnsi="宋体" w:eastAsia="宋体" w:cs="宋体"/>
                <w:sz w:val="21"/>
              </w:rPr>
            </w:pPr>
            <w:r>
              <w:rPr>
                <w:rStyle w:val="7"/>
                <w:rFonts w:ascii="宋体" w:hAnsi="宋体" w:eastAsia="宋体" w:cs="宋体"/>
                <w:sz w:val="21"/>
              </w:rPr>
              <w:t>序号</w:t>
            </w:r>
          </w:p>
        </w:tc>
        <w:tc>
          <w:tcPr>
            <w:tcW w:w="1621" w:type="dxa"/>
            <w:gridSpan w:val="2"/>
            <w:noWrap/>
            <w:tcMar>
              <w:top w:w="100" w:type="dxa"/>
              <w:bottom w:w="100" w:type="dxa"/>
            </w:tcMar>
            <w:vAlign w:val="center"/>
          </w:tcPr>
          <w:p w14:paraId="565EF96C">
            <w:pPr>
              <w:pStyle w:val="8"/>
              <w:jc w:val="center"/>
              <w:rPr>
                <w:rStyle w:val="7"/>
                <w:rFonts w:ascii="宋体" w:hAnsi="宋体" w:eastAsia="宋体" w:cs="宋体"/>
                <w:sz w:val="21"/>
              </w:rPr>
            </w:pPr>
            <w:r>
              <w:rPr>
                <w:rStyle w:val="7"/>
                <w:rFonts w:ascii="宋体" w:hAnsi="宋体" w:eastAsia="宋体" w:cs="宋体"/>
                <w:sz w:val="21"/>
              </w:rPr>
              <w:t>评审因素</w:t>
            </w:r>
          </w:p>
        </w:tc>
        <w:tc>
          <w:tcPr>
            <w:tcW w:w="5474" w:type="dxa"/>
            <w:noWrap/>
            <w:tcMar>
              <w:top w:w="100" w:type="dxa"/>
              <w:bottom w:w="100" w:type="dxa"/>
            </w:tcMar>
            <w:vAlign w:val="center"/>
          </w:tcPr>
          <w:p w14:paraId="3DCA6C3C">
            <w:pPr>
              <w:pStyle w:val="8"/>
              <w:jc w:val="center"/>
              <w:rPr>
                <w:rStyle w:val="7"/>
                <w:rFonts w:ascii="宋体" w:hAnsi="宋体" w:eastAsia="宋体" w:cs="宋体"/>
                <w:sz w:val="21"/>
              </w:rPr>
            </w:pPr>
            <w:r>
              <w:rPr>
                <w:rStyle w:val="7"/>
                <w:rFonts w:ascii="宋体" w:hAnsi="宋体" w:eastAsia="宋体" w:cs="宋体"/>
                <w:sz w:val="21"/>
              </w:rPr>
              <w:t>评审细则</w:t>
            </w:r>
          </w:p>
        </w:tc>
        <w:tc>
          <w:tcPr>
            <w:tcW w:w="1265" w:type="dxa"/>
            <w:noWrap/>
            <w:tcMar>
              <w:top w:w="100" w:type="dxa"/>
              <w:bottom w:w="100" w:type="dxa"/>
            </w:tcMar>
            <w:vAlign w:val="center"/>
          </w:tcPr>
          <w:p w14:paraId="25E58CD1">
            <w:pPr>
              <w:pStyle w:val="8"/>
              <w:jc w:val="center"/>
              <w:rPr>
                <w:rStyle w:val="7"/>
                <w:rFonts w:ascii="宋体" w:hAnsi="宋体" w:eastAsia="宋体" w:cs="宋体"/>
                <w:sz w:val="21"/>
              </w:rPr>
            </w:pPr>
            <w:r>
              <w:rPr>
                <w:rStyle w:val="7"/>
                <w:rFonts w:ascii="宋体" w:hAnsi="宋体" w:eastAsia="宋体" w:cs="宋体"/>
                <w:sz w:val="21"/>
              </w:rPr>
              <w:t>分值</w:t>
            </w:r>
          </w:p>
        </w:tc>
      </w:tr>
      <w:tr w14:paraId="5925E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756" w:hRule="atLeast"/>
        </w:trPr>
        <w:tc>
          <w:tcPr>
            <w:tcW w:w="7793" w:type="dxa"/>
            <w:gridSpan w:val="4"/>
            <w:noWrap/>
            <w:tcMar>
              <w:top w:w="100" w:type="dxa"/>
              <w:bottom w:w="100" w:type="dxa"/>
            </w:tcMar>
            <w:vAlign w:val="center"/>
          </w:tcPr>
          <w:p w14:paraId="5C7ACE1B">
            <w:pPr>
              <w:pStyle w:val="8"/>
              <w:jc w:val="center"/>
              <w:rPr>
                <w:rStyle w:val="7"/>
                <w:rFonts w:ascii="宋体" w:hAnsi="宋体" w:eastAsia="宋体" w:cs="宋体"/>
                <w:sz w:val="21"/>
              </w:rPr>
            </w:pPr>
            <w:r>
              <w:rPr>
                <w:rStyle w:val="7"/>
                <w:rFonts w:ascii="宋体" w:hAnsi="宋体" w:eastAsia="宋体" w:cs="宋体"/>
                <w:sz w:val="21"/>
              </w:rPr>
              <w:t>一、技术方案</w:t>
            </w:r>
          </w:p>
        </w:tc>
        <w:tc>
          <w:tcPr>
            <w:tcW w:w="1265" w:type="dxa"/>
            <w:noWrap/>
            <w:tcMar>
              <w:top w:w="100" w:type="dxa"/>
              <w:bottom w:w="100" w:type="dxa"/>
            </w:tcMar>
            <w:vAlign w:val="center"/>
          </w:tcPr>
          <w:p w14:paraId="18C8C54B">
            <w:pPr>
              <w:pStyle w:val="8"/>
              <w:jc w:val="center"/>
              <w:rPr>
                <w:rStyle w:val="7"/>
                <w:rFonts w:ascii="宋体" w:hAnsi="宋体" w:eastAsia="宋体" w:cs="宋体"/>
                <w:sz w:val="21"/>
              </w:rPr>
            </w:pPr>
            <w:r>
              <w:rPr>
                <w:rStyle w:val="7"/>
                <w:rFonts w:hint="eastAsia" w:ascii="宋体" w:hAnsi="宋体" w:eastAsia="宋体" w:cs="宋体"/>
                <w:sz w:val="21"/>
              </w:rPr>
              <w:t>1</w:t>
            </w:r>
            <w:r>
              <w:rPr>
                <w:rStyle w:val="7"/>
                <w:rFonts w:hint="eastAsia" w:ascii="宋体" w:hAnsi="宋体" w:eastAsia="宋体" w:cs="宋体"/>
                <w:sz w:val="21"/>
                <w:lang w:val="en-US" w:eastAsia="zh-CN"/>
              </w:rPr>
              <w:t>8</w:t>
            </w:r>
            <w:r>
              <w:rPr>
                <w:rStyle w:val="7"/>
                <w:rFonts w:hint="eastAsia" w:ascii="宋体" w:hAnsi="宋体" w:eastAsia="宋体" w:cs="宋体"/>
                <w:sz w:val="21"/>
              </w:rPr>
              <w:t>.0</w:t>
            </w:r>
            <w:r>
              <w:rPr>
                <w:rStyle w:val="7"/>
                <w:rFonts w:ascii="宋体" w:hAnsi="宋体" w:eastAsia="宋体" w:cs="宋体"/>
                <w:sz w:val="21"/>
              </w:rPr>
              <w:t>分</w:t>
            </w:r>
          </w:p>
        </w:tc>
      </w:tr>
      <w:tr w14:paraId="01B5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303" w:hRule="atLeast"/>
        </w:trPr>
        <w:tc>
          <w:tcPr>
            <w:tcW w:w="698" w:type="dxa"/>
            <w:noWrap/>
            <w:tcMar>
              <w:top w:w="100" w:type="dxa"/>
              <w:bottom w:w="100" w:type="dxa"/>
            </w:tcMar>
            <w:vAlign w:val="center"/>
          </w:tcPr>
          <w:p w14:paraId="3E76E9C3">
            <w:pPr>
              <w:pStyle w:val="8"/>
              <w:jc w:val="center"/>
              <w:rPr>
                <w:rStyle w:val="7"/>
                <w:rFonts w:ascii="宋体" w:hAnsi="宋体" w:eastAsia="宋体" w:cs="宋体"/>
                <w:sz w:val="21"/>
              </w:rPr>
            </w:pPr>
            <w:r>
              <w:rPr>
                <w:rStyle w:val="7"/>
                <w:rFonts w:ascii="宋体" w:hAnsi="宋体" w:eastAsia="宋体" w:cs="宋体"/>
                <w:sz w:val="21"/>
              </w:rPr>
              <w:t>1.1</w:t>
            </w:r>
          </w:p>
        </w:tc>
        <w:tc>
          <w:tcPr>
            <w:tcW w:w="1621" w:type="dxa"/>
            <w:gridSpan w:val="2"/>
            <w:noWrap/>
            <w:tcMar>
              <w:top w:w="100" w:type="dxa"/>
              <w:bottom w:w="100" w:type="dxa"/>
            </w:tcMar>
            <w:vAlign w:val="center"/>
          </w:tcPr>
          <w:p w14:paraId="204AE39C">
            <w:pPr>
              <w:pStyle w:val="8"/>
              <w:jc w:val="center"/>
              <w:rPr>
                <w:rStyle w:val="7"/>
                <w:rFonts w:ascii="宋体" w:hAnsi="宋体" w:eastAsia="宋体" w:cs="宋体"/>
                <w:sz w:val="21"/>
              </w:rPr>
            </w:pPr>
            <w:r>
              <w:rPr>
                <w:rStyle w:val="7"/>
                <w:rFonts w:ascii="宋体" w:hAnsi="宋体" w:eastAsia="宋体" w:cs="宋体"/>
                <w:sz w:val="21"/>
              </w:rPr>
              <w:t>总体概述</w:t>
            </w:r>
          </w:p>
        </w:tc>
        <w:tc>
          <w:tcPr>
            <w:tcW w:w="5474" w:type="dxa"/>
            <w:noWrap/>
            <w:tcMar>
              <w:top w:w="100" w:type="dxa"/>
              <w:bottom w:w="100" w:type="dxa"/>
            </w:tcMar>
            <w:vAlign w:val="center"/>
          </w:tcPr>
          <w:p w14:paraId="0DF21E23">
            <w:pPr>
              <w:pStyle w:val="8"/>
              <w:jc w:val="center"/>
              <w:rPr>
                <w:rStyle w:val="7"/>
                <w:rFonts w:ascii="宋体" w:hAnsi="宋体" w:eastAsia="宋体" w:cs="宋体"/>
                <w:sz w:val="21"/>
              </w:rPr>
            </w:pPr>
            <w:r>
              <w:rPr>
                <w:rStyle w:val="7"/>
                <w:rFonts w:ascii="宋体" w:hAnsi="宋体" w:eastAsia="宋体" w:cs="宋体"/>
                <w:sz w:val="21"/>
              </w:rPr>
              <w:t>总体设想透彻，方案内容表述针对性强，标段划分合理的得</w:t>
            </w:r>
            <w:r>
              <w:rPr>
                <w:rStyle w:val="7"/>
                <w:rFonts w:hint="eastAsia" w:ascii="宋体" w:hAnsi="宋体" w:eastAsia="宋体" w:cs="宋体"/>
                <w:sz w:val="21"/>
              </w:rPr>
              <w:t>2</w:t>
            </w:r>
            <w:r>
              <w:rPr>
                <w:rStyle w:val="7"/>
                <w:rFonts w:ascii="宋体" w:hAnsi="宋体" w:eastAsia="宋体" w:cs="宋体"/>
                <w:sz w:val="21"/>
              </w:rPr>
              <w:t>分；总体设想一般，方案内容表述针对性较强，标段划分较合理的得</w:t>
            </w:r>
            <w:r>
              <w:rPr>
                <w:rStyle w:val="7"/>
                <w:rFonts w:hint="eastAsia" w:ascii="宋体" w:hAnsi="宋体" w:eastAsia="宋体" w:cs="宋体"/>
                <w:sz w:val="21"/>
              </w:rPr>
              <w:t>1</w:t>
            </w:r>
            <w:r>
              <w:rPr>
                <w:rStyle w:val="7"/>
                <w:rFonts w:ascii="宋体" w:hAnsi="宋体" w:eastAsia="宋体" w:cs="宋体"/>
                <w:sz w:val="21"/>
              </w:rPr>
              <w:t>分；总体设想模糊，方案内容表述针对性不强，标段划分合理性一般的得</w:t>
            </w:r>
            <w:r>
              <w:rPr>
                <w:rStyle w:val="7"/>
                <w:rFonts w:hint="eastAsia" w:ascii="宋体" w:hAnsi="宋体" w:eastAsia="宋体" w:cs="宋体"/>
                <w:sz w:val="21"/>
              </w:rPr>
              <w:t>0.5</w:t>
            </w:r>
            <w:r>
              <w:rPr>
                <w:rStyle w:val="7"/>
                <w:rFonts w:ascii="宋体" w:hAnsi="宋体" w:eastAsia="宋体" w:cs="宋体"/>
                <w:sz w:val="21"/>
              </w:rPr>
              <w:t>分；未提供方案的不得分。</w:t>
            </w:r>
          </w:p>
        </w:tc>
        <w:tc>
          <w:tcPr>
            <w:tcW w:w="1265" w:type="dxa"/>
            <w:noWrap/>
            <w:tcMar>
              <w:top w:w="100" w:type="dxa"/>
              <w:bottom w:w="100" w:type="dxa"/>
            </w:tcMar>
            <w:vAlign w:val="center"/>
          </w:tcPr>
          <w:p w14:paraId="06090541">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5F98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303" w:hRule="atLeast"/>
        </w:trPr>
        <w:tc>
          <w:tcPr>
            <w:tcW w:w="698" w:type="dxa"/>
            <w:noWrap/>
            <w:tcMar>
              <w:top w:w="100" w:type="dxa"/>
              <w:bottom w:w="100" w:type="dxa"/>
            </w:tcMar>
            <w:vAlign w:val="center"/>
          </w:tcPr>
          <w:p w14:paraId="7A326DF4">
            <w:pPr>
              <w:pStyle w:val="8"/>
              <w:jc w:val="center"/>
              <w:rPr>
                <w:rStyle w:val="7"/>
                <w:rFonts w:ascii="宋体" w:hAnsi="宋体" w:eastAsia="宋体" w:cs="宋体"/>
                <w:sz w:val="21"/>
              </w:rPr>
            </w:pPr>
            <w:r>
              <w:rPr>
                <w:rStyle w:val="7"/>
                <w:rFonts w:ascii="宋体" w:hAnsi="宋体" w:eastAsia="宋体" w:cs="宋体"/>
                <w:sz w:val="21"/>
              </w:rPr>
              <w:t>1.2</w:t>
            </w:r>
          </w:p>
        </w:tc>
        <w:tc>
          <w:tcPr>
            <w:tcW w:w="1621" w:type="dxa"/>
            <w:gridSpan w:val="2"/>
            <w:noWrap/>
            <w:tcMar>
              <w:top w:w="100" w:type="dxa"/>
              <w:bottom w:w="100" w:type="dxa"/>
            </w:tcMar>
            <w:vAlign w:val="center"/>
          </w:tcPr>
          <w:p w14:paraId="47AD2E3D">
            <w:pPr>
              <w:pStyle w:val="8"/>
              <w:jc w:val="center"/>
              <w:rPr>
                <w:rStyle w:val="7"/>
                <w:rFonts w:ascii="宋体" w:hAnsi="宋体" w:eastAsia="宋体" w:cs="宋体"/>
                <w:sz w:val="21"/>
              </w:rPr>
            </w:pPr>
            <w:r>
              <w:rPr>
                <w:rStyle w:val="7"/>
                <w:rFonts w:ascii="宋体" w:hAnsi="宋体" w:eastAsia="宋体" w:cs="宋体"/>
                <w:sz w:val="21"/>
              </w:rPr>
              <w:t>施工现场平面布置和临时设施、临时道路布置</w:t>
            </w:r>
          </w:p>
        </w:tc>
        <w:tc>
          <w:tcPr>
            <w:tcW w:w="5474" w:type="dxa"/>
            <w:noWrap/>
            <w:tcMar>
              <w:top w:w="100" w:type="dxa"/>
              <w:bottom w:w="100" w:type="dxa"/>
            </w:tcMar>
            <w:vAlign w:val="center"/>
          </w:tcPr>
          <w:p w14:paraId="43BD402E">
            <w:pPr>
              <w:pStyle w:val="8"/>
              <w:jc w:val="center"/>
              <w:rPr>
                <w:rStyle w:val="7"/>
                <w:rFonts w:ascii="宋体" w:hAnsi="宋体" w:eastAsia="宋体" w:cs="宋体"/>
                <w:sz w:val="21"/>
              </w:rPr>
            </w:pPr>
            <w:r>
              <w:rPr>
                <w:rStyle w:val="7"/>
                <w:rFonts w:hint="eastAsia" w:ascii="宋体" w:hAnsi="宋体" w:eastAsia="宋体" w:cs="宋体"/>
                <w:sz w:val="21"/>
              </w:rPr>
              <w:t>施工现场布置符合现场条件且布置合理，可行性强的得2分；施工现场布置基本符合现场条件且布置较为合理，可行性较强的得1分；施工现场布置与现场条件符合性一般，基本合理可行的得0.5分；未提供方案的不得分。</w:t>
            </w:r>
          </w:p>
        </w:tc>
        <w:tc>
          <w:tcPr>
            <w:tcW w:w="1265" w:type="dxa"/>
            <w:noWrap/>
            <w:tcMar>
              <w:top w:w="100" w:type="dxa"/>
              <w:bottom w:w="100" w:type="dxa"/>
            </w:tcMar>
            <w:vAlign w:val="center"/>
          </w:tcPr>
          <w:p w14:paraId="357247CD">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46E0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030" w:hRule="atLeast"/>
        </w:trPr>
        <w:tc>
          <w:tcPr>
            <w:tcW w:w="698" w:type="dxa"/>
            <w:noWrap/>
            <w:tcMar>
              <w:top w:w="100" w:type="dxa"/>
              <w:bottom w:w="100" w:type="dxa"/>
            </w:tcMar>
            <w:vAlign w:val="center"/>
          </w:tcPr>
          <w:p w14:paraId="7338A410">
            <w:pPr>
              <w:pStyle w:val="8"/>
              <w:jc w:val="center"/>
              <w:rPr>
                <w:rStyle w:val="7"/>
                <w:rFonts w:ascii="宋体" w:hAnsi="宋体" w:eastAsia="宋体" w:cs="宋体"/>
                <w:sz w:val="21"/>
              </w:rPr>
            </w:pPr>
            <w:r>
              <w:rPr>
                <w:rStyle w:val="7"/>
                <w:rFonts w:ascii="宋体" w:hAnsi="宋体" w:eastAsia="宋体" w:cs="宋体"/>
                <w:sz w:val="21"/>
              </w:rPr>
              <w:t>1.3</w:t>
            </w:r>
          </w:p>
        </w:tc>
        <w:tc>
          <w:tcPr>
            <w:tcW w:w="1621" w:type="dxa"/>
            <w:gridSpan w:val="2"/>
            <w:noWrap/>
            <w:tcMar>
              <w:top w:w="100" w:type="dxa"/>
              <w:bottom w:w="100" w:type="dxa"/>
            </w:tcMar>
            <w:vAlign w:val="center"/>
          </w:tcPr>
          <w:p w14:paraId="3E95D3A8">
            <w:pPr>
              <w:pStyle w:val="8"/>
              <w:jc w:val="center"/>
              <w:rPr>
                <w:rStyle w:val="7"/>
                <w:rFonts w:ascii="宋体" w:hAnsi="宋体" w:eastAsia="宋体" w:cs="宋体"/>
                <w:sz w:val="21"/>
              </w:rPr>
            </w:pPr>
            <w:r>
              <w:rPr>
                <w:rStyle w:val="7"/>
                <w:rFonts w:ascii="宋体" w:hAnsi="宋体" w:eastAsia="宋体" w:cs="宋体"/>
                <w:sz w:val="21"/>
              </w:rPr>
              <w:t>施工进度计划和各阶段进度的保证措施</w:t>
            </w:r>
          </w:p>
        </w:tc>
        <w:tc>
          <w:tcPr>
            <w:tcW w:w="5474" w:type="dxa"/>
            <w:noWrap/>
            <w:tcMar>
              <w:top w:w="100" w:type="dxa"/>
              <w:bottom w:w="100" w:type="dxa"/>
            </w:tcMar>
            <w:vAlign w:val="center"/>
          </w:tcPr>
          <w:p w14:paraId="6FA2F759">
            <w:pPr>
              <w:pStyle w:val="8"/>
              <w:jc w:val="center"/>
              <w:rPr>
                <w:rStyle w:val="7"/>
                <w:rFonts w:ascii="宋体" w:hAnsi="宋体" w:eastAsia="宋体" w:cs="宋体"/>
                <w:sz w:val="21"/>
              </w:rPr>
            </w:pPr>
            <w:r>
              <w:rPr>
                <w:rStyle w:val="7"/>
                <w:rFonts w:hint="eastAsia" w:ascii="宋体" w:hAnsi="宋体" w:eastAsia="宋体" w:cs="宋体"/>
                <w:sz w:val="21"/>
              </w:rPr>
              <w:t>施工进度计划及各阶段工期保证措施合理可行的得2分；施工进度计划及各阶段工期保证措施较为合理可行的得1分；施工进度计划及各阶段工期保证措施基本合理可行的得0.5分；未提供方案的不得分。</w:t>
            </w:r>
          </w:p>
        </w:tc>
        <w:tc>
          <w:tcPr>
            <w:tcW w:w="1265" w:type="dxa"/>
            <w:noWrap/>
            <w:tcMar>
              <w:top w:w="100" w:type="dxa"/>
              <w:bottom w:w="100" w:type="dxa"/>
            </w:tcMar>
            <w:vAlign w:val="center"/>
          </w:tcPr>
          <w:p w14:paraId="5BD9FDF1">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7229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303" w:hRule="atLeast"/>
        </w:trPr>
        <w:tc>
          <w:tcPr>
            <w:tcW w:w="698" w:type="dxa"/>
            <w:noWrap/>
            <w:tcMar>
              <w:top w:w="100" w:type="dxa"/>
              <w:bottom w:w="100" w:type="dxa"/>
            </w:tcMar>
            <w:vAlign w:val="center"/>
          </w:tcPr>
          <w:p w14:paraId="63E76FF5">
            <w:pPr>
              <w:pStyle w:val="8"/>
              <w:jc w:val="center"/>
              <w:rPr>
                <w:rStyle w:val="7"/>
                <w:rFonts w:ascii="宋体" w:hAnsi="宋体" w:eastAsia="宋体" w:cs="宋体"/>
                <w:sz w:val="21"/>
              </w:rPr>
            </w:pPr>
            <w:r>
              <w:rPr>
                <w:rStyle w:val="7"/>
                <w:rFonts w:ascii="宋体" w:hAnsi="宋体" w:eastAsia="宋体" w:cs="宋体"/>
                <w:sz w:val="21"/>
              </w:rPr>
              <w:t>1.4</w:t>
            </w:r>
          </w:p>
        </w:tc>
        <w:tc>
          <w:tcPr>
            <w:tcW w:w="1621" w:type="dxa"/>
            <w:gridSpan w:val="2"/>
            <w:noWrap/>
            <w:tcMar>
              <w:top w:w="100" w:type="dxa"/>
              <w:bottom w:w="100" w:type="dxa"/>
            </w:tcMar>
            <w:vAlign w:val="center"/>
          </w:tcPr>
          <w:p w14:paraId="2101CCBB">
            <w:pPr>
              <w:pStyle w:val="8"/>
              <w:jc w:val="center"/>
              <w:rPr>
                <w:rStyle w:val="7"/>
                <w:rFonts w:ascii="宋体" w:hAnsi="宋体" w:eastAsia="宋体" w:cs="宋体"/>
                <w:sz w:val="21"/>
              </w:rPr>
            </w:pPr>
            <w:r>
              <w:rPr>
                <w:rStyle w:val="7"/>
                <w:rFonts w:ascii="宋体" w:hAnsi="宋体" w:eastAsia="宋体" w:cs="宋体"/>
                <w:sz w:val="21"/>
              </w:rPr>
              <w:t>各分部分项工程的施工方案及质量保证措施</w:t>
            </w:r>
          </w:p>
        </w:tc>
        <w:tc>
          <w:tcPr>
            <w:tcW w:w="5474" w:type="dxa"/>
            <w:noWrap/>
            <w:tcMar>
              <w:top w:w="100" w:type="dxa"/>
              <w:bottom w:w="100" w:type="dxa"/>
            </w:tcMar>
            <w:vAlign w:val="center"/>
          </w:tcPr>
          <w:p w14:paraId="4948ECD9">
            <w:pPr>
              <w:pStyle w:val="8"/>
              <w:jc w:val="center"/>
              <w:rPr>
                <w:rStyle w:val="7"/>
                <w:rFonts w:ascii="宋体" w:hAnsi="宋体" w:eastAsia="宋体" w:cs="宋体"/>
                <w:sz w:val="21"/>
              </w:rPr>
            </w:pPr>
            <w:r>
              <w:rPr>
                <w:rStyle w:val="7"/>
                <w:rFonts w:hint="eastAsia" w:ascii="宋体" w:hAnsi="宋体" w:eastAsia="宋体" w:cs="宋体"/>
                <w:sz w:val="21"/>
              </w:rPr>
              <w:t>各分部分项工程施工方案齐全，可行性强及质量保证措施合理可行的得2分；各分部分项工程施工方案较为齐全，可行性较强及质量保证措施较为合理可行的得1分；各分部分项工程施工方案有明显缺漏且可行性一般，质量保证措施一般的得0.5分；未提供方案的不得分。</w:t>
            </w:r>
          </w:p>
        </w:tc>
        <w:tc>
          <w:tcPr>
            <w:tcW w:w="1265" w:type="dxa"/>
            <w:noWrap/>
            <w:tcMar>
              <w:top w:w="100" w:type="dxa"/>
              <w:bottom w:w="100" w:type="dxa"/>
            </w:tcMar>
            <w:vAlign w:val="center"/>
          </w:tcPr>
          <w:p w14:paraId="71321A66">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0556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030" w:hRule="atLeast"/>
        </w:trPr>
        <w:tc>
          <w:tcPr>
            <w:tcW w:w="698" w:type="dxa"/>
            <w:noWrap/>
            <w:tcMar>
              <w:top w:w="100" w:type="dxa"/>
              <w:bottom w:w="100" w:type="dxa"/>
            </w:tcMar>
            <w:vAlign w:val="center"/>
          </w:tcPr>
          <w:p w14:paraId="6CBC2E76">
            <w:pPr>
              <w:pStyle w:val="8"/>
              <w:jc w:val="center"/>
              <w:rPr>
                <w:rStyle w:val="7"/>
                <w:rFonts w:ascii="宋体" w:hAnsi="宋体" w:eastAsia="宋体" w:cs="宋体"/>
                <w:sz w:val="21"/>
              </w:rPr>
            </w:pPr>
            <w:r>
              <w:rPr>
                <w:rStyle w:val="7"/>
                <w:rFonts w:ascii="宋体" w:hAnsi="宋体" w:eastAsia="宋体" w:cs="宋体"/>
                <w:sz w:val="21"/>
              </w:rPr>
              <w:t>1.5</w:t>
            </w:r>
          </w:p>
        </w:tc>
        <w:tc>
          <w:tcPr>
            <w:tcW w:w="1621" w:type="dxa"/>
            <w:gridSpan w:val="2"/>
            <w:noWrap/>
            <w:tcMar>
              <w:top w:w="100" w:type="dxa"/>
              <w:bottom w:w="100" w:type="dxa"/>
            </w:tcMar>
            <w:vAlign w:val="center"/>
          </w:tcPr>
          <w:p w14:paraId="64474DC0">
            <w:pPr>
              <w:pStyle w:val="8"/>
              <w:jc w:val="center"/>
              <w:rPr>
                <w:rStyle w:val="7"/>
                <w:rFonts w:ascii="宋体" w:hAnsi="宋体" w:eastAsia="宋体" w:cs="宋体"/>
                <w:sz w:val="21"/>
              </w:rPr>
            </w:pPr>
            <w:r>
              <w:rPr>
                <w:rStyle w:val="7"/>
                <w:rFonts w:ascii="宋体" w:hAnsi="宋体" w:eastAsia="宋体" w:cs="宋体"/>
                <w:sz w:val="21"/>
              </w:rPr>
              <w:t>安全文明施工及环境保护措施</w:t>
            </w:r>
          </w:p>
        </w:tc>
        <w:tc>
          <w:tcPr>
            <w:tcW w:w="5474" w:type="dxa"/>
            <w:noWrap/>
            <w:tcMar>
              <w:top w:w="100" w:type="dxa"/>
              <w:bottom w:w="100" w:type="dxa"/>
            </w:tcMar>
            <w:vAlign w:val="center"/>
          </w:tcPr>
          <w:p w14:paraId="763754FC">
            <w:pPr>
              <w:pStyle w:val="8"/>
              <w:jc w:val="center"/>
              <w:rPr>
                <w:rStyle w:val="7"/>
                <w:rFonts w:ascii="宋体" w:hAnsi="宋体" w:eastAsia="宋体" w:cs="宋体"/>
                <w:sz w:val="21"/>
              </w:rPr>
            </w:pPr>
            <w:r>
              <w:rPr>
                <w:rStyle w:val="7"/>
                <w:rFonts w:hint="eastAsia" w:ascii="宋体" w:hAnsi="宋体" w:eastAsia="宋体" w:cs="宋体"/>
                <w:sz w:val="21"/>
              </w:rPr>
              <w:t>安全文明施工及环境保护措施可行性强、措施有保障的得2分；可行性较强、措施较有保障的得1分；可行性一般、措施保障性一般的得0.5分；未提供方案的不得分。</w:t>
            </w:r>
          </w:p>
        </w:tc>
        <w:tc>
          <w:tcPr>
            <w:tcW w:w="1265" w:type="dxa"/>
            <w:noWrap/>
            <w:tcMar>
              <w:top w:w="100" w:type="dxa"/>
              <w:bottom w:w="100" w:type="dxa"/>
            </w:tcMar>
            <w:vAlign w:val="center"/>
          </w:tcPr>
          <w:p w14:paraId="0A663937">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74AE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030" w:hRule="atLeast"/>
        </w:trPr>
        <w:tc>
          <w:tcPr>
            <w:tcW w:w="698" w:type="dxa"/>
            <w:noWrap/>
            <w:tcMar>
              <w:top w:w="100" w:type="dxa"/>
              <w:bottom w:w="100" w:type="dxa"/>
            </w:tcMar>
            <w:vAlign w:val="center"/>
          </w:tcPr>
          <w:p w14:paraId="424D2941">
            <w:pPr>
              <w:pStyle w:val="8"/>
              <w:jc w:val="center"/>
              <w:rPr>
                <w:rStyle w:val="7"/>
                <w:rFonts w:ascii="宋体" w:hAnsi="宋体" w:eastAsia="宋体" w:cs="宋体"/>
                <w:sz w:val="21"/>
              </w:rPr>
            </w:pPr>
            <w:r>
              <w:rPr>
                <w:rStyle w:val="7"/>
                <w:rFonts w:ascii="宋体" w:hAnsi="宋体" w:eastAsia="宋体" w:cs="宋体"/>
                <w:sz w:val="21"/>
              </w:rPr>
              <w:t>1.6</w:t>
            </w:r>
          </w:p>
        </w:tc>
        <w:tc>
          <w:tcPr>
            <w:tcW w:w="1621" w:type="dxa"/>
            <w:gridSpan w:val="2"/>
            <w:noWrap/>
            <w:tcMar>
              <w:top w:w="100" w:type="dxa"/>
              <w:bottom w:w="100" w:type="dxa"/>
            </w:tcMar>
            <w:vAlign w:val="center"/>
          </w:tcPr>
          <w:p w14:paraId="061D66E6">
            <w:pPr>
              <w:pStyle w:val="8"/>
              <w:jc w:val="center"/>
              <w:rPr>
                <w:rStyle w:val="7"/>
                <w:rFonts w:ascii="宋体" w:hAnsi="宋体" w:eastAsia="宋体" w:cs="宋体"/>
                <w:sz w:val="21"/>
              </w:rPr>
            </w:pPr>
            <w:r>
              <w:rPr>
                <w:rStyle w:val="7"/>
                <w:rFonts w:ascii="宋体" w:hAnsi="宋体" w:eastAsia="宋体" w:cs="宋体"/>
                <w:sz w:val="21"/>
              </w:rPr>
              <w:t>项目管理班子的人员配备、素质及管理经验</w:t>
            </w:r>
          </w:p>
        </w:tc>
        <w:tc>
          <w:tcPr>
            <w:tcW w:w="5474" w:type="dxa"/>
            <w:noWrap/>
            <w:tcMar>
              <w:top w:w="100" w:type="dxa"/>
              <w:bottom w:w="100" w:type="dxa"/>
            </w:tcMar>
            <w:vAlign w:val="center"/>
          </w:tcPr>
          <w:p w14:paraId="0343A724">
            <w:pPr>
              <w:pStyle w:val="8"/>
              <w:jc w:val="center"/>
              <w:rPr>
                <w:rStyle w:val="7"/>
                <w:rFonts w:ascii="宋体" w:hAnsi="宋体" w:eastAsia="宋体" w:cs="宋体"/>
                <w:sz w:val="21"/>
              </w:rPr>
            </w:pPr>
            <w:r>
              <w:rPr>
                <w:rStyle w:val="7"/>
                <w:rFonts w:hint="eastAsia" w:ascii="宋体" w:hAnsi="宋体" w:eastAsia="宋体" w:cs="宋体"/>
                <w:sz w:val="21"/>
              </w:rPr>
              <w:t>项目管理班子的人员配备齐全、素质及管理经验强的得2分；人员配备较为齐全、素质及管理经验较强的得1分；人员配备不能满足项目管理需求、素质及管理经验一般的得0.5分；未提供方案的不得分。</w:t>
            </w:r>
          </w:p>
        </w:tc>
        <w:tc>
          <w:tcPr>
            <w:tcW w:w="1265" w:type="dxa"/>
            <w:noWrap/>
            <w:tcMar>
              <w:top w:w="100" w:type="dxa"/>
              <w:bottom w:w="100" w:type="dxa"/>
            </w:tcMar>
            <w:vAlign w:val="center"/>
          </w:tcPr>
          <w:p w14:paraId="3E7583F7">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0932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303" w:hRule="atLeast"/>
        </w:trPr>
        <w:tc>
          <w:tcPr>
            <w:tcW w:w="698" w:type="dxa"/>
            <w:noWrap/>
            <w:tcMar>
              <w:top w:w="100" w:type="dxa"/>
              <w:bottom w:w="100" w:type="dxa"/>
            </w:tcMar>
            <w:vAlign w:val="center"/>
          </w:tcPr>
          <w:p w14:paraId="6C4E2BA2">
            <w:pPr>
              <w:pStyle w:val="8"/>
              <w:jc w:val="center"/>
              <w:rPr>
                <w:rStyle w:val="7"/>
                <w:rFonts w:ascii="宋体" w:hAnsi="宋体" w:eastAsia="宋体" w:cs="宋体"/>
                <w:sz w:val="21"/>
              </w:rPr>
            </w:pPr>
            <w:r>
              <w:rPr>
                <w:rStyle w:val="7"/>
                <w:rFonts w:ascii="宋体" w:hAnsi="宋体" w:eastAsia="宋体" w:cs="宋体"/>
                <w:sz w:val="21"/>
              </w:rPr>
              <w:t>1.7</w:t>
            </w:r>
          </w:p>
        </w:tc>
        <w:tc>
          <w:tcPr>
            <w:tcW w:w="1621" w:type="dxa"/>
            <w:gridSpan w:val="2"/>
            <w:noWrap/>
            <w:tcMar>
              <w:top w:w="100" w:type="dxa"/>
              <w:bottom w:w="100" w:type="dxa"/>
            </w:tcMar>
            <w:vAlign w:val="center"/>
          </w:tcPr>
          <w:p w14:paraId="5DBA5EB7">
            <w:pPr>
              <w:pStyle w:val="8"/>
              <w:jc w:val="center"/>
              <w:rPr>
                <w:rStyle w:val="7"/>
                <w:rFonts w:ascii="宋体" w:hAnsi="宋体" w:eastAsia="宋体" w:cs="宋体"/>
                <w:sz w:val="21"/>
              </w:rPr>
            </w:pPr>
            <w:r>
              <w:rPr>
                <w:rStyle w:val="7"/>
                <w:rFonts w:ascii="宋体" w:hAnsi="宋体" w:eastAsia="宋体" w:cs="宋体"/>
                <w:sz w:val="21"/>
              </w:rPr>
              <w:t>劳动力、机械设备和材料投入计划</w:t>
            </w:r>
          </w:p>
        </w:tc>
        <w:tc>
          <w:tcPr>
            <w:tcW w:w="5474" w:type="dxa"/>
            <w:noWrap/>
            <w:tcMar>
              <w:top w:w="100" w:type="dxa"/>
              <w:bottom w:w="100" w:type="dxa"/>
            </w:tcMar>
            <w:vAlign w:val="center"/>
          </w:tcPr>
          <w:p w14:paraId="123BD2B7">
            <w:pPr>
              <w:pStyle w:val="8"/>
              <w:jc w:val="center"/>
              <w:rPr>
                <w:rStyle w:val="7"/>
                <w:rFonts w:ascii="宋体" w:hAnsi="宋体" w:eastAsia="宋体" w:cs="宋体"/>
                <w:sz w:val="21"/>
              </w:rPr>
            </w:pPr>
            <w:r>
              <w:rPr>
                <w:rStyle w:val="7"/>
                <w:rFonts w:hint="eastAsia" w:ascii="宋体" w:hAnsi="宋体" w:eastAsia="宋体" w:cs="宋体"/>
                <w:sz w:val="21"/>
              </w:rPr>
              <w:t>劳动力、机械设备和材料投入计划满足进度计划要求，保障措施合理的得2分；投入计划基本满足进度计划要求，保障措施较为合理的得1分；投入计划明显不足，可能对进度产生影响，保障措施一般的得0.5分；未提供方案的不得分。</w:t>
            </w:r>
          </w:p>
        </w:tc>
        <w:tc>
          <w:tcPr>
            <w:tcW w:w="1265" w:type="dxa"/>
            <w:noWrap/>
            <w:tcMar>
              <w:top w:w="100" w:type="dxa"/>
              <w:bottom w:w="100" w:type="dxa"/>
            </w:tcMar>
            <w:vAlign w:val="center"/>
          </w:tcPr>
          <w:p w14:paraId="5BF87516">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03E0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576" w:hRule="atLeast"/>
        </w:trPr>
        <w:tc>
          <w:tcPr>
            <w:tcW w:w="698" w:type="dxa"/>
            <w:noWrap/>
            <w:tcMar>
              <w:top w:w="100" w:type="dxa"/>
              <w:bottom w:w="100" w:type="dxa"/>
            </w:tcMar>
            <w:vAlign w:val="center"/>
          </w:tcPr>
          <w:p w14:paraId="2D81884A">
            <w:pPr>
              <w:pStyle w:val="8"/>
              <w:jc w:val="center"/>
              <w:rPr>
                <w:rStyle w:val="7"/>
                <w:rFonts w:ascii="宋体" w:hAnsi="宋体" w:eastAsia="宋体" w:cs="宋体"/>
                <w:sz w:val="21"/>
              </w:rPr>
            </w:pPr>
            <w:r>
              <w:rPr>
                <w:rStyle w:val="7"/>
                <w:rFonts w:ascii="宋体" w:hAnsi="宋体" w:eastAsia="宋体" w:cs="宋体"/>
                <w:sz w:val="21"/>
              </w:rPr>
              <w:t>1.8</w:t>
            </w:r>
          </w:p>
        </w:tc>
        <w:tc>
          <w:tcPr>
            <w:tcW w:w="1621" w:type="dxa"/>
            <w:gridSpan w:val="2"/>
            <w:noWrap/>
            <w:tcMar>
              <w:top w:w="100" w:type="dxa"/>
              <w:bottom w:w="100" w:type="dxa"/>
            </w:tcMar>
            <w:vAlign w:val="center"/>
          </w:tcPr>
          <w:p w14:paraId="676CC788">
            <w:pPr>
              <w:pStyle w:val="8"/>
              <w:jc w:val="center"/>
              <w:rPr>
                <w:rStyle w:val="7"/>
                <w:rFonts w:ascii="宋体" w:hAnsi="宋体" w:eastAsia="宋体" w:cs="宋体"/>
                <w:sz w:val="21"/>
              </w:rPr>
            </w:pPr>
            <w:r>
              <w:rPr>
                <w:rStyle w:val="7"/>
                <w:rFonts w:ascii="宋体" w:hAnsi="宋体" w:eastAsia="宋体" w:cs="宋体"/>
                <w:sz w:val="21"/>
              </w:rPr>
              <w:t>关键施工技术、工艺及工程项目实施的重点、难点和解决方案</w:t>
            </w:r>
          </w:p>
        </w:tc>
        <w:tc>
          <w:tcPr>
            <w:tcW w:w="5474" w:type="dxa"/>
            <w:noWrap/>
            <w:tcMar>
              <w:top w:w="100" w:type="dxa"/>
              <w:bottom w:w="100" w:type="dxa"/>
            </w:tcMar>
            <w:vAlign w:val="center"/>
          </w:tcPr>
          <w:p w14:paraId="2608E4DE">
            <w:pPr>
              <w:pStyle w:val="8"/>
              <w:jc w:val="center"/>
              <w:rPr>
                <w:rStyle w:val="7"/>
                <w:rFonts w:ascii="宋体" w:hAnsi="宋体" w:eastAsia="宋体" w:cs="宋体"/>
                <w:sz w:val="21"/>
              </w:rPr>
            </w:pPr>
            <w:r>
              <w:rPr>
                <w:rStyle w:val="7"/>
                <w:rFonts w:hint="eastAsia" w:ascii="宋体" w:hAnsi="宋体" w:eastAsia="宋体" w:cs="宋体"/>
                <w:sz w:val="21"/>
              </w:rPr>
              <w:t>关键施工技术、工艺先进可行，项目实施的重难点分析透彻且解决方案合理可行的得2分；关键施工技术、工艺可行性强，项目实施的重难点分析较为透彻且解决方案较为合理可行的得1分；关键施工技术、工艺可行性一般，项目实施的重难点分析模糊且解决方案可行性较差的得0.5分；未提供方案的不得分。</w:t>
            </w:r>
          </w:p>
        </w:tc>
        <w:tc>
          <w:tcPr>
            <w:tcW w:w="1265" w:type="dxa"/>
            <w:noWrap/>
            <w:tcMar>
              <w:top w:w="100" w:type="dxa"/>
              <w:bottom w:w="100" w:type="dxa"/>
            </w:tcMar>
            <w:vAlign w:val="center"/>
          </w:tcPr>
          <w:p w14:paraId="582368CE">
            <w:pPr>
              <w:pStyle w:val="8"/>
              <w:jc w:val="center"/>
              <w:rPr>
                <w:rStyle w:val="7"/>
                <w:rFonts w:ascii="宋体" w:hAnsi="宋体" w:eastAsia="宋体" w:cs="宋体"/>
                <w:sz w:val="21"/>
              </w:rPr>
            </w:pPr>
            <w:r>
              <w:rPr>
                <w:rStyle w:val="7"/>
                <w:rFonts w:hint="eastAsia" w:ascii="宋体" w:hAnsi="宋体" w:eastAsia="宋体" w:cs="宋体"/>
                <w:sz w:val="21"/>
              </w:rPr>
              <w:t>2</w:t>
            </w:r>
            <w:r>
              <w:rPr>
                <w:rStyle w:val="7"/>
                <w:rFonts w:ascii="宋体" w:hAnsi="宋体" w:eastAsia="宋体" w:cs="宋体"/>
                <w:sz w:val="21"/>
              </w:rPr>
              <w:t>.0分</w:t>
            </w:r>
          </w:p>
        </w:tc>
      </w:tr>
      <w:tr w14:paraId="77372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576" w:hRule="atLeast"/>
        </w:trPr>
        <w:tc>
          <w:tcPr>
            <w:tcW w:w="698" w:type="dxa"/>
            <w:noWrap/>
            <w:tcMar>
              <w:top w:w="100" w:type="dxa"/>
              <w:bottom w:w="100" w:type="dxa"/>
            </w:tcMar>
            <w:vAlign w:val="center"/>
          </w:tcPr>
          <w:p w14:paraId="21B47D87">
            <w:pPr>
              <w:pStyle w:val="8"/>
              <w:jc w:val="center"/>
              <w:rPr>
                <w:rStyle w:val="7"/>
                <w:rFonts w:ascii="宋体" w:hAnsi="宋体" w:eastAsia="宋体" w:cs="宋体"/>
                <w:sz w:val="21"/>
              </w:rPr>
            </w:pPr>
            <w:r>
              <w:rPr>
                <w:rStyle w:val="7"/>
                <w:rFonts w:ascii="宋体" w:hAnsi="宋体" w:eastAsia="宋体" w:cs="宋体"/>
                <w:b w:val="0"/>
                <w:sz w:val="21"/>
                <w:szCs w:val="24"/>
              </w:rPr>
              <w:t>1.9</w:t>
            </w:r>
          </w:p>
        </w:tc>
        <w:tc>
          <w:tcPr>
            <w:tcW w:w="1621" w:type="dxa"/>
            <w:gridSpan w:val="2"/>
            <w:noWrap/>
            <w:tcMar>
              <w:top w:w="100" w:type="dxa"/>
              <w:bottom w:w="100" w:type="dxa"/>
            </w:tcMar>
            <w:vAlign w:val="center"/>
          </w:tcPr>
          <w:p w14:paraId="54DDEBD4">
            <w:pPr>
              <w:pStyle w:val="8"/>
              <w:jc w:val="center"/>
              <w:rPr>
                <w:rStyle w:val="7"/>
                <w:rFonts w:ascii="宋体" w:hAnsi="宋体" w:eastAsia="宋体" w:cs="宋体"/>
                <w:sz w:val="21"/>
              </w:rPr>
            </w:pPr>
            <w:r>
              <w:rPr>
                <w:rStyle w:val="7"/>
                <w:rFonts w:ascii="宋体" w:hAnsi="宋体" w:eastAsia="宋体" w:cs="宋体"/>
                <w:b w:val="0"/>
                <w:sz w:val="21"/>
                <w:szCs w:val="24"/>
              </w:rPr>
              <w:t>冬雨季施工、已有设施、管线的加固、保护等特殊情况下的施工措施</w:t>
            </w:r>
          </w:p>
        </w:tc>
        <w:tc>
          <w:tcPr>
            <w:tcW w:w="5474" w:type="dxa"/>
            <w:noWrap/>
            <w:tcMar>
              <w:top w:w="100" w:type="dxa"/>
              <w:bottom w:w="100" w:type="dxa"/>
            </w:tcMar>
            <w:vAlign w:val="center"/>
          </w:tcPr>
          <w:p w14:paraId="14B12BFC">
            <w:pPr>
              <w:pStyle w:val="8"/>
              <w:jc w:val="center"/>
              <w:rPr>
                <w:rStyle w:val="7"/>
                <w:rFonts w:hint="eastAsia" w:ascii="宋体" w:hAnsi="宋体" w:eastAsia="宋体" w:cs="宋体"/>
                <w:sz w:val="21"/>
              </w:rPr>
            </w:pPr>
            <w:r>
              <w:rPr>
                <w:rStyle w:val="7"/>
                <w:rFonts w:hint="eastAsia" w:ascii="宋体" w:hAnsi="宋体" w:eastAsia="宋体" w:cs="宋体"/>
                <w:b w:val="0"/>
                <w:sz w:val="21"/>
                <w:szCs w:val="24"/>
              </w:rPr>
              <w:t>冬雨季施工方案及已有设施、管线的加固、保护等特殊情况下的施工措施合理可行的得</w:t>
            </w:r>
            <w:r>
              <w:rPr>
                <w:rStyle w:val="7"/>
                <w:rFonts w:hint="eastAsia" w:ascii="宋体" w:hAnsi="宋体" w:eastAsia="宋体" w:cs="宋体"/>
                <w:b w:val="0"/>
                <w:sz w:val="21"/>
                <w:szCs w:val="24"/>
                <w:lang w:val="en-US" w:eastAsia="zh-CN"/>
              </w:rPr>
              <w:t>2</w:t>
            </w:r>
            <w:r>
              <w:rPr>
                <w:rStyle w:val="7"/>
                <w:rFonts w:hint="eastAsia" w:ascii="宋体" w:hAnsi="宋体" w:eastAsia="宋体" w:cs="宋体"/>
                <w:b w:val="0"/>
                <w:sz w:val="21"/>
                <w:szCs w:val="24"/>
              </w:rPr>
              <w:t>分；冬雨季施工方案及已有设施、管线的加固、保护等特殊情况下的施工措施较为合理可行的得</w:t>
            </w:r>
            <w:r>
              <w:rPr>
                <w:rStyle w:val="7"/>
                <w:rFonts w:hint="eastAsia" w:ascii="宋体" w:hAnsi="宋体" w:eastAsia="宋体" w:cs="宋体"/>
                <w:b w:val="0"/>
                <w:sz w:val="21"/>
                <w:szCs w:val="24"/>
                <w:lang w:val="en-US" w:eastAsia="zh-CN"/>
              </w:rPr>
              <w:t>1</w:t>
            </w:r>
            <w:r>
              <w:rPr>
                <w:rStyle w:val="7"/>
                <w:rFonts w:hint="eastAsia" w:ascii="宋体" w:hAnsi="宋体" w:eastAsia="宋体" w:cs="宋体"/>
                <w:b w:val="0"/>
                <w:sz w:val="21"/>
                <w:szCs w:val="24"/>
              </w:rPr>
              <w:t>分；冬雨季施工方案及已有设施、管线的加固、保护等特殊情况下的施工措施可行性一般的得</w:t>
            </w:r>
            <w:r>
              <w:rPr>
                <w:rStyle w:val="7"/>
                <w:rFonts w:hint="eastAsia" w:ascii="宋体" w:hAnsi="宋体" w:eastAsia="宋体" w:cs="宋体"/>
                <w:b w:val="0"/>
                <w:sz w:val="21"/>
                <w:szCs w:val="24"/>
                <w:lang w:val="en-US" w:eastAsia="zh-CN"/>
              </w:rPr>
              <w:t>0.5</w:t>
            </w:r>
            <w:r>
              <w:rPr>
                <w:rStyle w:val="7"/>
                <w:rFonts w:hint="eastAsia" w:ascii="宋体" w:hAnsi="宋体" w:eastAsia="宋体" w:cs="宋体"/>
                <w:b w:val="0"/>
                <w:sz w:val="21"/>
                <w:szCs w:val="24"/>
              </w:rPr>
              <w:t>分；未提供方案的不得分。</w:t>
            </w:r>
          </w:p>
        </w:tc>
        <w:tc>
          <w:tcPr>
            <w:tcW w:w="1265" w:type="dxa"/>
            <w:noWrap/>
            <w:tcMar>
              <w:top w:w="100" w:type="dxa"/>
              <w:bottom w:w="100" w:type="dxa"/>
            </w:tcMar>
            <w:vAlign w:val="center"/>
          </w:tcPr>
          <w:p w14:paraId="3D32D133">
            <w:pPr>
              <w:pStyle w:val="8"/>
              <w:jc w:val="center"/>
              <w:rPr>
                <w:rStyle w:val="7"/>
                <w:rFonts w:hint="eastAsia" w:ascii="宋体" w:hAnsi="宋体" w:eastAsia="宋体" w:cs="宋体"/>
                <w:sz w:val="21"/>
              </w:rPr>
            </w:pPr>
            <w:r>
              <w:rPr>
                <w:rStyle w:val="7"/>
                <w:rFonts w:hint="eastAsia" w:ascii="宋体" w:hAnsi="宋体" w:eastAsia="宋体" w:cs="宋体"/>
                <w:b w:val="0"/>
                <w:sz w:val="21"/>
                <w:szCs w:val="24"/>
                <w:lang w:val="en-US" w:eastAsia="zh-CN"/>
              </w:rPr>
              <w:t>2</w:t>
            </w:r>
            <w:r>
              <w:rPr>
                <w:rStyle w:val="7"/>
                <w:rFonts w:ascii="宋体" w:hAnsi="宋体" w:eastAsia="宋体" w:cs="宋体"/>
                <w:b w:val="0"/>
                <w:sz w:val="21"/>
                <w:szCs w:val="24"/>
              </w:rPr>
              <w:t>.0分</w:t>
            </w:r>
          </w:p>
        </w:tc>
      </w:tr>
      <w:tr w14:paraId="4229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756" w:hRule="atLeast"/>
        </w:trPr>
        <w:tc>
          <w:tcPr>
            <w:tcW w:w="698" w:type="dxa"/>
            <w:noWrap/>
            <w:tcMar>
              <w:top w:w="100" w:type="dxa"/>
              <w:bottom w:w="100" w:type="dxa"/>
            </w:tcMar>
            <w:vAlign w:val="center"/>
          </w:tcPr>
          <w:p w14:paraId="0DAB2689">
            <w:pPr>
              <w:pStyle w:val="10"/>
              <w:jc w:val="center"/>
              <w:rPr>
                <w:rStyle w:val="7"/>
                <w:rFonts w:ascii="宋体" w:hAnsi="宋体" w:eastAsia="宋体" w:cs="宋体"/>
                <w:sz w:val="21"/>
              </w:rPr>
            </w:pPr>
            <w:r>
              <w:rPr>
                <w:rStyle w:val="7"/>
                <w:rFonts w:ascii="宋体" w:hAnsi="宋体" w:eastAsia="宋体" w:cs="宋体"/>
                <w:sz w:val="21"/>
              </w:rPr>
              <w:t>序号</w:t>
            </w:r>
          </w:p>
        </w:tc>
        <w:tc>
          <w:tcPr>
            <w:tcW w:w="456" w:type="dxa"/>
            <w:noWrap/>
            <w:tcMar>
              <w:top w:w="100" w:type="dxa"/>
              <w:bottom w:w="100" w:type="dxa"/>
            </w:tcMar>
            <w:vAlign w:val="center"/>
          </w:tcPr>
          <w:p w14:paraId="4C118C58">
            <w:pPr>
              <w:pStyle w:val="10"/>
              <w:jc w:val="center"/>
              <w:rPr>
                <w:rStyle w:val="7"/>
                <w:rFonts w:ascii="宋体" w:hAnsi="宋体" w:eastAsia="宋体" w:cs="宋体"/>
                <w:sz w:val="21"/>
              </w:rPr>
            </w:pPr>
            <w:r>
              <w:rPr>
                <w:rStyle w:val="7"/>
                <w:rFonts w:ascii="宋体" w:hAnsi="宋体" w:eastAsia="宋体" w:cs="宋体"/>
                <w:sz w:val="21"/>
              </w:rPr>
              <w:t>评审因素</w:t>
            </w:r>
          </w:p>
        </w:tc>
        <w:tc>
          <w:tcPr>
            <w:tcW w:w="6639" w:type="dxa"/>
            <w:gridSpan w:val="2"/>
            <w:noWrap/>
            <w:tcMar>
              <w:top w:w="100" w:type="dxa"/>
              <w:bottom w:w="100" w:type="dxa"/>
            </w:tcMar>
            <w:vAlign w:val="center"/>
          </w:tcPr>
          <w:p w14:paraId="7AE0EA93">
            <w:pPr>
              <w:pStyle w:val="10"/>
              <w:jc w:val="center"/>
              <w:rPr>
                <w:rStyle w:val="7"/>
                <w:rFonts w:ascii="宋体" w:hAnsi="宋体" w:eastAsia="宋体" w:cs="宋体"/>
                <w:sz w:val="21"/>
              </w:rPr>
            </w:pPr>
            <w:r>
              <w:rPr>
                <w:rStyle w:val="7"/>
                <w:rFonts w:ascii="宋体" w:hAnsi="宋体" w:eastAsia="宋体" w:cs="宋体"/>
                <w:sz w:val="21"/>
              </w:rPr>
              <w:t>评审细则</w:t>
            </w:r>
          </w:p>
        </w:tc>
        <w:tc>
          <w:tcPr>
            <w:tcW w:w="1265" w:type="dxa"/>
            <w:noWrap/>
            <w:tcMar>
              <w:top w:w="100" w:type="dxa"/>
              <w:bottom w:w="100" w:type="dxa"/>
            </w:tcMar>
            <w:vAlign w:val="center"/>
          </w:tcPr>
          <w:p w14:paraId="255E7C31">
            <w:pPr>
              <w:pStyle w:val="10"/>
              <w:jc w:val="center"/>
              <w:rPr>
                <w:rStyle w:val="7"/>
                <w:rFonts w:ascii="宋体" w:hAnsi="宋体" w:eastAsia="宋体" w:cs="宋体"/>
                <w:sz w:val="21"/>
              </w:rPr>
            </w:pPr>
            <w:r>
              <w:rPr>
                <w:rStyle w:val="7"/>
                <w:rFonts w:ascii="宋体" w:hAnsi="宋体" w:eastAsia="宋体" w:cs="宋体"/>
                <w:sz w:val="21"/>
              </w:rPr>
              <w:t>分值</w:t>
            </w:r>
          </w:p>
        </w:tc>
      </w:tr>
      <w:tr w14:paraId="49BE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756" w:hRule="atLeast"/>
        </w:trPr>
        <w:tc>
          <w:tcPr>
            <w:tcW w:w="7793" w:type="dxa"/>
            <w:gridSpan w:val="4"/>
            <w:noWrap/>
            <w:tcMar>
              <w:top w:w="100" w:type="dxa"/>
              <w:bottom w:w="100" w:type="dxa"/>
            </w:tcMar>
            <w:vAlign w:val="center"/>
          </w:tcPr>
          <w:p w14:paraId="52335B93">
            <w:pPr>
              <w:pStyle w:val="10"/>
              <w:jc w:val="center"/>
              <w:rPr>
                <w:rStyle w:val="7"/>
                <w:rFonts w:ascii="宋体" w:hAnsi="宋体" w:eastAsia="宋体" w:cs="宋体"/>
                <w:sz w:val="21"/>
              </w:rPr>
            </w:pPr>
            <w:r>
              <w:rPr>
                <w:rStyle w:val="7"/>
                <w:rFonts w:ascii="宋体" w:hAnsi="宋体" w:eastAsia="宋体" w:cs="宋体"/>
                <w:sz w:val="21"/>
              </w:rPr>
              <w:t>一、报价评价</w:t>
            </w:r>
          </w:p>
        </w:tc>
        <w:tc>
          <w:tcPr>
            <w:tcW w:w="1265" w:type="dxa"/>
            <w:noWrap/>
            <w:tcMar>
              <w:top w:w="100" w:type="dxa"/>
              <w:bottom w:w="100" w:type="dxa"/>
            </w:tcMar>
            <w:vAlign w:val="center"/>
          </w:tcPr>
          <w:p w14:paraId="0446B1B8">
            <w:pPr>
              <w:pStyle w:val="10"/>
              <w:jc w:val="center"/>
              <w:rPr>
                <w:rStyle w:val="7"/>
                <w:rFonts w:ascii="宋体" w:hAnsi="宋体" w:eastAsia="宋体" w:cs="宋体"/>
                <w:sz w:val="21"/>
              </w:rPr>
            </w:pPr>
            <w:r>
              <w:rPr>
                <w:rStyle w:val="7"/>
                <w:rFonts w:hint="eastAsia" w:ascii="宋体" w:hAnsi="宋体" w:eastAsia="宋体" w:cs="宋体"/>
                <w:sz w:val="21"/>
              </w:rPr>
              <w:t>78</w:t>
            </w:r>
            <w:r>
              <w:rPr>
                <w:rStyle w:val="7"/>
                <w:rFonts w:ascii="宋体" w:hAnsi="宋体" w:eastAsia="宋体" w:cs="宋体"/>
                <w:sz w:val="21"/>
              </w:rPr>
              <w:t>.0分</w:t>
            </w:r>
          </w:p>
        </w:tc>
      </w:tr>
      <w:tr w14:paraId="57E4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040" w:hRule="atLeast"/>
        </w:trPr>
        <w:tc>
          <w:tcPr>
            <w:tcW w:w="698" w:type="dxa"/>
            <w:noWrap/>
            <w:tcMar>
              <w:top w:w="100" w:type="dxa"/>
              <w:bottom w:w="100" w:type="dxa"/>
            </w:tcMar>
            <w:vAlign w:val="center"/>
          </w:tcPr>
          <w:p w14:paraId="4985F89C">
            <w:pPr>
              <w:pStyle w:val="10"/>
              <w:jc w:val="center"/>
              <w:rPr>
                <w:rStyle w:val="7"/>
                <w:rFonts w:ascii="宋体" w:hAnsi="宋体" w:eastAsia="宋体" w:cs="宋体"/>
                <w:sz w:val="21"/>
              </w:rPr>
            </w:pPr>
            <w:r>
              <w:rPr>
                <w:rStyle w:val="7"/>
                <w:rFonts w:ascii="宋体" w:hAnsi="宋体" w:eastAsia="宋体" w:cs="宋体"/>
                <w:sz w:val="21"/>
              </w:rPr>
              <w:t>1.1</w:t>
            </w:r>
          </w:p>
        </w:tc>
        <w:tc>
          <w:tcPr>
            <w:tcW w:w="456" w:type="dxa"/>
            <w:noWrap/>
            <w:tcMar>
              <w:top w:w="100" w:type="dxa"/>
              <w:bottom w:w="100" w:type="dxa"/>
            </w:tcMar>
            <w:vAlign w:val="center"/>
          </w:tcPr>
          <w:p w14:paraId="24D40B05">
            <w:pPr>
              <w:pStyle w:val="10"/>
              <w:jc w:val="center"/>
              <w:rPr>
                <w:rStyle w:val="7"/>
                <w:rFonts w:ascii="宋体" w:hAnsi="宋体" w:eastAsia="宋体" w:cs="宋体"/>
                <w:sz w:val="21"/>
              </w:rPr>
            </w:pPr>
            <w:r>
              <w:rPr>
                <w:rStyle w:val="7"/>
                <w:rFonts w:ascii="宋体" w:hAnsi="宋体" w:eastAsia="宋体" w:cs="宋体"/>
                <w:sz w:val="21"/>
              </w:rPr>
              <w:t>报价得分</w:t>
            </w:r>
          </w:p>
        </w:tc>
        <w:tc>
          <w:tcPr>
            <w:tcW w:w="6639" w:type="dxa"/>
            <w:gridSpan w:val="2"/>
            <w:noWrap/>
            <w:tcMar>
              <w:top w:w="100" w:type="dxa"/>
              <w:bottom w:w="100" w:type="dxa"/>
            </w:tcMar>
            <w:vAlign w:val="center"/>
          </w:tcPr>
          <w:p w14:paraId="1371F82A">
            <w:pPr>
              <w:pStyle w:val="10"/>
              <w:numPr>
                <w:ilvl w:val="0"/>
                <w:numId w:val="1"/>
              </w:numPr>
              <w:jc w:val="center"/>
              <w:rPr>
                <w:rStyle w:val="7"/>
                <w:rFonts w:ascii="宋体" w:hAnsi="宋体" w:eastAsia="宋体" w:cs="宋体"/>
                <w:sz w:val="21"/>
              </w:rPr>
            </w:pPr>
            <w:r>
              <w:rPr>
                <w:rStyle w:val="7"/>
                <w:rFonts w:hint="eastAsia" w:ascii="宋体" w:hAnsi="宋体" w:eastAsia="宋体" w:cs="宋体"/>
                <w:sz w:val="21"/>
              </w:rPr>
              <w:t>以有效投标文件（有效投标文件是指未被评标委员会判定为无效标的投标文件，下同）的评标价（评标价是指经澄清、补正和修正算术计算错误的投标报价，下同）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w:t>
            </w:r>
          </w:p>
          <w:p w14:paraId="69CEAF7C">
            <w:pPr>
              <w:pStyle w:val="10"/>
              <w:numPr>
                <w:ilvl w:val="0"/>
                <w:numId w:val="1"/>
              </w:numPr>
              <w:jc w:val="both"/>
              <w:rPr>
                <w:rStyle w:val="7"/>
                <w:rFonts w:ascii="宋体" w:hAnsi="宋体" w:eastAsia="宋体" w:cs="宋体"/>
                <w:sz w:val="21"/>
              </w:rPr>
            </w:pPr>
            <w:r>
              <w:rPr>
                <w:rStyle w:val="7"/>
                <w:rFonts w:hint="eastAsia" w:ascii="宋体" w:hAnsi="宋体" w:eastAsia="宋体" w:cs="宋体"/>
                <w:sz w:val="21"/>
              </w:rPr>
              <w:t> 评标基准价=A×K，K值在投标文件开启（解密）前由招标人（或招标代理机构）或其委托的公证机构随机抽取确定，K值的取值范围为：97%、97.5%、98% ；</w:t>
            </w:r>
          </w:p>
          <w:p w14:paraId="5CF0B0C5">
            <w:pPr>
              <w:pStyle w:val="10"/>
              <w:numPr>
                <w:ilvl w:val="0"/>
                <w:numId w:val="1"/>
              </w:numPr>
              <w:jc w:val="both"/>
              <w:rPr>
                <w:rStyle w:val="7"/>
                <w:rFonts w:ascii="宋体" w:hAnsi="宋体" w:eastAsia="宋体" w:cs="宋体"/>
                <w:sz w:val="21"/>
              </w:rPr>
            </w:pPr>
            <w:r>
              <w:rPr>
                <w:rStyle w:val="7"/>
                <w:rFonts w:ascii="宋体" w:hAnsi="宋体" w:eastAsia="宋体" w:cs="宋体"/>
                <w:sz w:val="21"/>
              </w:rPr>
              <w:t>评标价等于评标基准价的得</w:t>
            </w:r>
            <w:r>
              <w:rPr>
                <w:rStyle w:val="7"/>
                <w:rFonts w:hint="eastAsia" w:ascii="宋体" w:hAnsi="宋体" w:eastAsia="宋体" w:cs="宋体"/>
                <w:sz w:val="21"/>
              </w:rPr>
              <w:t>78分，评标价偏离评标基准价的相应扣减得分，评标价相对评标基准价每偏离 1%，扣减一定的分值，每偏高1%扣 0.9分，每偏低1%扣0.6分，偏离不足1%的，按照插入法计算得分。</w:t>
            </w:r>
          </w:p>
          <w:p w14:paraId="47094D5E">
            <w:pPr>
              <w:pStyle w:val="10"/>
              <w:jc w:val="both"/>
              <w:rPr>
                <w:rStyle w:val="7"/>
                <w:rFonts w:ascii="宋体" w:hAnsi="宋体" w:eastAsia="宋体" w:cs="宋体"/>
                <w:sz w:val="21"/>
              </w:rPr>
            </w:pPr>
            <w:r>
              <w:rPr>
                <w:rStyle w:val="7"/>
                <w:rFonts w:hint="eastAsia" w:ascii="宋体" w:hAnsi="宋体" w:eastAsia="宋体" w:cs="宋体"/>
                <w:sz w:val="21"/>
              </w:rPr>
              <w:t>注：</w:t>
            </w:r>
            <w:r>
              <w:rPr>
                <w:rStyle w:val="7"/>
                <w:rFonts w:ascii="宋体" w:hAnsi="宋体" w:eastAsia="宋体" w:cs="宋体"/>
                <w:sz w:val="21"/>
              </w:rPr>
              <w:t>依据关于转发《关于进一步加大政府采购支持中小企业发展的通知》的通知（镇财采〔2022〕22号）第一条第（三）款规定，本次发包标段投标报价得分对于小微企业在原投标报价评分的基础上增加其价格得分的3%作为其最终投标报价得分。小微企业的划型标准依据《关于印发中小企业划型标准规定的通知》（工信部联企业〔2011〕300号）。</w:t>
            </w:r>
          </w:p>
        </w:tc>
        <w:tc>
          <w:tcPr>
            <w:tcW w:w="1265" w:type="dxa"/>
            <w:noWrap/>
            <w:tcMar>
              <w:top w:w="100" w:type="dxa"/>
              <w:bottom w:w="100" w:type="dxa"/>
            </w:tcMar>
            <w:vAlign w:val="center"/>
          </w:tcPr>
          <w:p w14:paraId="06BA88D2">
            <w:pPr>
              <w:pStyle w:val="10"/>
              <w:jc w:val="center"/>
              <w:rPr>
                <w:rStyle w:val="7"/>
                <w:rFonts w:ascii="宋体" w:hAnsi="宋体" w:eastAsia="宋体" w:cs="宋体"/>
                <w:sz w:val="21"/>
              </w:rPr>
            </w:pPr>
            <w:r>
              <w:rPr>
                <w:rStyle w:val="7"/>
                <w:rFonts w:hint="eastAsia" w:ascii="宋体" w:hAnsi="宋体" w:eastAsia="宋体" w:cs="宋体"/>
                <w:sz w:val="21"/>
              </w:rPr>
              <w:t>78</w:t>
            </w:r>
            <w:r>
              <w:rPr>
                <w:rStyle w:val="7"/>
                <w:rFonts w:ascii="宋体" w:hAnsi="宋体" w:eastAsia="宋体" w:cs="宋体"/>
                <w:sz w:val="21"/>
              </w:rPr>
              <w:t>.0分</w:t>
            </w:r>
          </w:p>
        </w:tc>
      </w:tr>
    </w:tbl>
    <w:p w14:paraId="2D5697BB"/>
    <w:p w14:paraId="7045089E"/>
    <w:p w14:paraId="456218D6">
      <w:pPr>
        <w:spacing w:line="360" w:lineRule="auto"/>
        <w:rPr>
          <w:rFonts w:hAnsi="宋体"/>
          <w:b/>
          <w:sz w:val="24"/>
          <w:szCs w:val="24"/>
        </w:rPr>
      </w:pPr>
      <w:r>
        <w:rPr>
          <w:rFonts w:hint="eastAsia" w:hAnsi="宋体"/>
          <w:b/>
          <w:sz w:val="24"/>
          <w:szCs w:val="24"/>
        </w:rPr>
        <w:t>说明：</w:t>
      </w:r>
    </w:p>
    <w:p w14:paraId="4D3A6350">
      <w:pPr>
        <w:spacing w:line="360" w:lineRule="auto"/>
        <w:rPr>
          <w:rFonts w:ascii="宋体"/>
          <w:b/>
          <w:bCs/>
          <w:sz w:val="24"/>
          <w:szCs w:val="24"/>
        </w:rPr>
      </w:pPr>
      <w:r>
        <w:rPr>
          <w:rFonts w:hint="eastAsia" w:ascii="宋体"/>
          <w:sz w:val="24"/>
          <w:szCs w:val="24"/>
        </w:rPr>
        <w:t>1、</w:t>
      </w:r>
      <w:r>
        <w:rPr>
          <w:rFonts w:ascii="宋体" w:hAnsi="宋体" w:cs="宋体"/>
        </w:rPr>
        <w:t>所有证明和业绩均以有效清晰的证明文件的复印件为依据并加盖公章，原件备查。</w:t>
      </w:r>
    </w:p>
    <w:p w14:paraId="36D47351">
      <w:pPr>
        <w:spacing w:line="360" w:lineRule="auto"/>
        <w:rPr>
          <w:rFonts w:ascii="宋体"/>
          <w:b/>
          <w:bCs/>
          <w:color w:val="FF0000"/>
          <w:sz w:val="24"/>
          <w:szCs w:val="24"/>
        </w:rPr>
      </w:pPr>
      <w:r>
        <w:rPr>
          <w:rFonts w:hint="eastAsia" w:ascii="宋体"/>
          <w:b/>
          <w:bCs/>
          <w:sz w:val="24"/>
          <w:szCs w:val="24"/>
        </w:rPr>
        <w:t>2、评标委员会认为供应商的报价明显低于其他通过审查供应商的报价，有可能影响服务质量或者不能诚信履约的，应当要求其在开标现场合理的时间内提供书面说明，必要时提交相关证明材料；供应商不能证明其报价合理性的，评标委员会应当将其作为无效标处理。</w:t>
      </w:r>
    </w:p>
    <w:p w14:paraId="6B3BFE47">
      <w:pPr>
        <w:pStyle w:val="11"/>
        <w:spacing w:line="360" w:lineRule="auto"/>
        <w:ind w:firstLine="0"/>
        <w:rPr>
          <w:sz w:val="24"/>
          <w:szCs w:val="24"/>
        </w:rPr>
      </w:pPr>
      <w:r>
        <w:rPr>
          <w:rFonts w:hint="eastAsia"/>
          <w:sz w:val="24"/>
          <w:szCs w:val="24"/>
        </w:rPr>
        <w:t>3、评审小组不保证有效报价最低的供应商成交。</w:t>
      </w:r>
    </w:p>
    <w:p w14:paraId="2BC21F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F63EB"/>
    <w:multiLevelType w:val="singleLevel"/>
    <w:tmpl w:val="A2CF63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16FF6"/>
    <w:rsid w:val="2E370257"/>
    <w:rsid w:val="482C6D14"/>
    <w:rsid w:val="5761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customStyle="1" w:styleId="5">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6">
    <w:name w:val="Normal_5"/>
    <w:qFormat/>
    <w:uiPriority w:val="0"/>
    <w:rPr>
      <w:rFonts w:ascii="Times New Roman" w:hAnsi="Times New Roman" w:eastAsia="Times New Roman" w:cs="Times New Roman"/>
      <w:sz w:val="24"/>
      <w:szCs w:val="24"/>
      <w:lang w:val="en-US" w:eastAsia="zh-CN" w:bidi="ar-SA"/>
    </w:rPr>
  </w:style>
  <w:style w:type="character" w:customStyle="1" w:styleId="7">
    <w:name w:val="默认段落字体1"/>
    <w:unhideWhenUsed/>
    <w:qFormat/>
    <w:uiPriority w:val="1"/>
  </w:style>
  <w:style w:type="paragraph" w:customStyle="1" w:styleId="8">
    <w:name w:val="Normal_4"/>
    <w:basedOn w:val="9"/>
    <w:qFormat/>
    <w:uiPriority w:val="0"/>
    <w:rPr>
      <w:rFonts w:eastAsia="Times New Roman"/>
      <w:sz w:val="24"/>
      <w:szCs w:val="24"/>
    </w:rPr>
  </w:style>
  <w:style w:type="paragraph" w:customStyle="1" w:styleId="9">
    <w:name w:val="正文_6"/>
    <w:qFormat/>
    <w:uiPriority w:val="0"/>
    <w:pPr>
      <w:widowControl w:val="0"/>
      <w:jc w:val="both"/>
    </w:pPr>
    <w:rPr>
      <w:rFonts w:ascii="Calibri" w:hAnsi="Calibri" w:eastAsia="宋体" w:cs="Times New Roman"/>
      <w:sz w:val="21"/>
      <w:szCs w:val="22"/>
      <w:lang w:val="en-US" w:eastAsia="zh-CN" w:bidi="ar-SA"/>
    </w:rPr>
  </w:style>
  <w:style w:type="paragraph" w:customStyle="1" w:styleId="10">
    <w:name w:val="Normal_6"/>
    <w:qFormat/>
    <w:uiPriority w:val="0"/>
    <w:rPr>
      <w:rFonts w:ascii="Times New Roman" w:hAnsi="Times New Roman" w:eastAsia="Times New Roman" w:cs="Times New Roman"/>
      <w:sz w:val="24"/>
      <w:szCs w:val="24"/>
      <w:lang w:val="en-US" w:eastAsia="zh-CN" w:bidi="ar-SA"/>
    </w:rPr>
  </w:style>
  <w:style w:type="paragraph" w:customStyle="1" w:styleId="11">
    <w:name w:val="正文缩进1"/>
    <w:basedOn w:val="1"/>
    <w:qFormat/>
    <w:uiPriority w:val="0"/>
    <w:pPr>
      <w:spacing w:after="120"/>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2290</Words>
  <Characters>2402</Characters>
  <Lines>0</Lines>
  <Paragraphs>0</Paragraphs>
  <TotalTime>2</TotalTime>
  <ScaleCrop>false</ScaleCrop>
  <LinksUpToDate>false</LinksUpToDate>
  <CharactersWithSpaces>2408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2025-06-12T08:24:00Z</dcterms:created>
  <dc:creator>嘛香吃嘛</dc:creator>
  <cp:lastModifiedBy>弹弹谭</cp:lastModifiedBy>
  <cp:lastPrinted>2025-06-12T09:17:12Z</cp:lastPrinted>
  <dcterms:modified xsi:type="dcterms:W3CDTF">2025-06-12T09:17:55Z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9BECB87D2EAD44BC9FCE62225E787AF1_11</vt:lpwstr>
  </property>
  <property fmtid="{D5CDD505-2E9C-101B-9397-08002B2CF9AE}" pid="4" name="KSOTemplateDocerSaveRecord">
    <vt:lpwstr>eyJoZGlkIjoiNWUyNzUwMDUwNzUzYWYxZTVmYTNmNzYzMGFiODg1NmUiLCJ1c2VySWQiOiIxOTc2MTc1ODkifQ==</vt:lpwstr>
  </property>
</Properties>
</file>