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4C" w:rsidRDefault="00F5644C" w:rsidP="00F5644C">
      <w:pPr>
        <w:spacing w:line="480" w:lineRule="auto"/>
        <w:jc w:val="center"/>
        <w:rPr>
          <w:rFonts w:ascii="黑体" w:eastAsia="黑体" w:hAnsi="宋体"/>
          <w:b/>
          <w:sz w:val="30"/>
          <w:szCs w:val="30"/>
        </w:rPr>
      </w:pPr>
      <w:r>
        <w:rPr>
          <w:rFonts w:ascii="黑体" w:eastAsia="黑体" w:hAnsi="宋体" w:hint="eastAsia"/>
          <w:b/>
          <w:sz w:val="30"/>
          <w:szCs w:val="30"/>
        </w:rPr>
        <w:t>采购项目内容及需求</w:t>
      </w:r>
    </w:p>
    <w:p w:rsidR="00251C21" w:rsidRPr="00CD58A7" w:rsidRDefault="00251C21" w:rsidP="00251C21">
      <w:pPr>
        <w:numPr>
          <w:ilvl w:val="0"/>
          <w:numId w:val="1"/>
        </w:numPr>
        <w:spacing w:line="360" w:lineRule="auto"/>
        <w:rPr>
          <w:b/>
        </w:rPr>
      </w:pPr>
      <w:bookmarkStart w:id="0" w:name="_Toc391910983"/>
      <w:r w:rsidRPr="00CD58A7">
        <w:rPr>
          <w:rFonts w:ascii="宋体" w:hAnsi="宋体" w:cs="宋体" w:hint="eastAsia"/>
          <w:b/>
          <w:szCs w:val="21"/>
        </w:rPr>
        <w:t>采购</w:t>
      </w:r>
      <w:r w:rsidRPr="00CD58A7">
        <w:rPr>
          <w:rFonts w:hint="eastAsia"/>
          <w:b/>
        </w:rPr>
        <w:t>内容</w:t>
      </w:r>
    </w:p>
    <w:p w:rsidR="00251C21" w:rsidRPr="003B784D" w:rsidRDefault="00251C21" w:rsidP="00251C21">
      <w:pPr>
        <w:autoSpaceDE w:val="0"/>
        <w:autoSpaceDN w:val="0"/>
        <w:adjustRightInd w:val="0"/>
        <w:spacing w:line="360" w:lineRule="auto"/>
        <w:ind w:firstLineChars="200" w:firstLine="420"/>
        <w:rPr>
          <w:rFonts w:ascii="宋体" w:hAnsi="宋体"/>
          <w:color w:val="000000"/>
          <w:kern w:val="0"/>
          <w:szCs w:val="21"/>
        </w:rPr>
      </w:pPr>
      <w:r w:rsidRPr="003B784D">
        <w:rPr>
          <w:rFonts w:ascii="宋体" w:hAnsi="宋体" w:hint="eastAsia"/>
          <w:color w:val="000000"/>
          <w:kern w:val="0"/>
          <w:szCs w:val="21"/>
        </w:rPr>
        <w:t>丹阳市安居工程建设投资有限公司土地增值税</w:t>
      </w:r>
      <w:proofErr w:type="gramStart"/>
      <w:r w:rsidRPr="003B784D">
        <w:rPr>
          <w:rFonts w:ascii="宋体" w:hAnsi="宋体" w:hint="eastAsia"/>
          <w:color w:val="000000"/>
          <w:kern w:val="0"/>
          <w:szCs w:val="21"/>
        </w:rPr>
        <w:t>鉴证</w:t>
      </w:r>
      <w:proofErr w:type="gramEnd"/>
      <w:r w:rsidRPr="003B784D">
        <w:rPr>
          <w:rFonts w:ascii="宋体" w:hAnsi="宋体" w:hint="eastAsia"/>
          <w:color w:val="000000"/>
          <w:kern w:val="0"/>
          <w:szCs w:val="21"/>
        </w:rPr>
        <w:t>服务，对练湖新城、紫竹园两个项目进行土地增值税清算。</w:t>
      </w:r>
    </w:p>
    <w:p w:rsidR="00251C21" w:rsidRPr="00CD58A7" w:rsidRDefault="00251C21" w:rsidP="00251C21">
      <w:pPr>
        <w:autoSpaceDE w:val="0"/>
        <w:autoSpaceDN w:val="0"/>
        <w:adjustRightInd w:val="0"/>
        <w:spacing w:line="360" w:lineRule="auto"/>
        <w:ind w:firstLineChars="200" w:firstLine="420"/>
        <w:rPr>
          <w:rFonts w:ascii="宋体" w:hAnsi="宋体"/>
          <w:color w:val="000000"/>
          <w:kern w:val="0"/>
          <w:szCs w:val="21"/>
        </w:rPr>
      </w:pPr>
      <w:r>
        <w:rPr>
          <w:rFonts w:ascii="宋体" w:hAnsi="宋体" w:hint="eastAsia"/>
          <w:color w:val="000000"/>
          <w:kern w:val="0"/>
          <w:szCs w:val="21"/>
        </w:rPr>
        <w:t>成交</w:t>
      </w:r>
      <w:r w:rsidRPr="003B784D">
        <w:rPr>
          <w:rFonts w:ascii="宋体" w:hAnsi="宋体" w:hint="eastAsia"/>
          <w:color w:val="000000"/>
          <w:kern w:val="0"/>
          <w:szCs w:val="21"/>
        </w:rPr>
        <w:t>供应商出具含有</w:t>
      </w:r>
      <w:proofErr w:type="gramStart"/>
      <w:r w:rsidRPr="003B784D">
        <w:rPr>
          <w:rFonts w:ascii="宋体" w:hAnsi="宋体" w:hint="eastAsia"/>
          <w:color w:val="000000"/>
          <w:kern w:val="0"/>
          <w:szCs w:val="21"/>
        </w:rPr>
        <w:t>鉴证</w:t>
      </w:r>
      <w:proofErr w:type="gramEnd"/>
      <w:r w:rsidRPr="003B784D">
        <w:rPr>
          <w:rFonts w:ascii="宋体" w:hAnsi="宋体" w:hint="eastAsia"/>
          <w:color w:val="000000"/>
          <w:kern w:val="0"/>
          <w:szCs w:val="21"/>
        </w:rPr>
        <w:t>结论或</w:t>
      </w:r>
      <w:proofErr w:type="gramStart"/>
      <w:r w:rsidRPr="003B784D">
        <w:rPr>
          <w:rFonts w:ascii="宋体" w:hAnsi="宋体" w:hint="eastAsia"/>
          <w:color w:val="000000"/>
          <w:kern w:val="0"/>
          <w:szCs w:val="21"/>
        </w:rPr>
        <w:t>鉴证</w:t>
      </w:r>
      <w:proofErr w:type="gramEnd"/>
      <w:r w:rsidRPr="003B784D">
        <w:rPr>
          <w:rFonts w:ascii="宋体" w:hAnsi="宋体" w:hint="eastAsia"/>
          <w:color w:val="000000"/>
          <w:kern w:val="0"/>
          <w:szCs w:val="21"/>
        </w:rPr>
        <w:t>意见的书面报告。报告应能完整反映房地产公司基本情况、清算项目概况、项目建设情况、项目销售情况、缴纳税款情况及清算审核情况。</w:t>
      </w:r>
    </w:p>
    <w:p w:rsidR="00251C21" w:rsidRPr="00CD58A7" w:rsidRDefault="00251C21" w:rsidP="00251C21">
      <w:pPr>
        <w:autoSpaceDE w:val="0"/>
        <w:autoSpaceDN w:val="0"/>
        <w:adjustRightInd w:val="0"/>
        <w:spacing w:line="360" w:lineRule="auto"/>
        <w:ind w:firstLineChars="200" w:firstLine="420"/>
        <w:rPr>
          <w:rFonts w:ascii="宋体" w:hAnsi="宋体" w:cs="楷体"/>
          <w:bCs/>
          <w:kern w:val="0"/>
          <w:szCs w:val="21"/>
          <w:lang w:val="zh-CN"/>
        </w:rPr>
      </w:pPr>
      <w:r w:rsidRPr="00CD58A7">
        <w:rPr>
          <w:rFonts w:ascii="宋体" w:hAnsi="宋体" w:hint="eastAsia"/>
          <w:color w:val="000000"/>
          <w:kern w:val="0"/>
          <w:szCs w:val="21"/>
        </w:rPr>
        <w:t>采购预算：</w:t>
      </w:r>
      <w:r>
        <w:rPr>
          <w:rFonts w:ascii="宋体" w:hAnsi="宋体" w:hint="eastAsia"/>
          <w:color w:val="000000"/>
          <w:kern w:val="0"/>
          <w:szCs w:val="21"/>
        </w:rPr>
        <w:t>920000</w:t>
      </w:r>
      <w:r w:rsidRPr="00CD58A7">
        <w:rPr>
          <w:rFonts w:ascii="宋体" w:hAnsi="宋体" w:hint="eastAsia"/>
          <w:color w:val="000000"/>
          <w:kern w:val="0"/>
          <w:szCs w:val="21"/>
        </w:rPr>
        <w:t>元</w:t>
      </w:r>
    </w:p>
    <w:p w:rsidR="00251C21" w:rsidRDefault="00251C21" w:rsidP="00251C21">
      <w:pPr>
        <w:numPr>
          <w:ilvl w:val="0"/>
          <w:numId w:val="1"/>
        </w:numPr>
        <w:autoSpaceDE w:val="0"/>
        <w:autoSpaceDN w:val="0"/>
        <w:adjustRightInd w:val="0"/>
        <w:spacing w:line="360" w:lineRule="auto"/>
        <w:rPr>
          <w:rFonts w:ascii="宋体" w:hAnsi="宋体" w:cs="楷体"/>
          <w:b/>
          <w:bCs/>
          <w:kern w:val="0"/>
          <w:szCs w:val="21"/>
          <w:lang w:val="zh-CN"/>
        </w:rPr>
      </w:pPr>
      <w:r>
        <w:rPr>
          <w:rFonts w:ascii="宋体" w:hAnsi="宋体" w:cs="楷体" w:hint="eastAsia"/>
          <w:b/>
          <w:bCs/>
          <w:kern w:val="0"/>
          <w:szCs w:val="21"/>
          <w:lang w:val="zh-CN"/>
        </w:rPr>
        <w:t>服务</w:t>
      </w:r>
      <w:r w:rsidRPr="00CD58A7">
        <w:rPr>
          <w:rFonts w:ascii="宋体" w:hAnsi="宋体" w:cs="楷体" w:hint="eastAsia"/>
          <w:b/>
          <w:bCs/>
          <w:kern w:val="0"/>
          <w:szCs w:val="21"/>
          <w:lang w:val="zh-CN"/>
        </w:rPr>
        <w:t>部分</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（一）确定</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复审机构后的其他要求</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（1）开展委托</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复审业务</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对提出的土地增值税清算事项进行审核并出具报告，严格履行保密义务。（必须能按照《江苏省地方税务局关于贯彻落实&lt;国家税务总局关于税务师事务所公告栏有关问题的公告&gt;的通知》(苏国税发[2012]64号)及《国家税务总局关于印发&lt;土地增值税清算</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业务准则&gt;的通知》（国税发[2007]132号）的规定出具符合要求的</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报告。）</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（2）委托</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复审责任</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接受委托的机构应确保质量，按时完成委托</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复审业务工作。委托</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业务工作应当严格遵守国家的有关法律、法规、制度规定及有关执业规范要求。对提供不实或内容虚假的结果以及自行对外提供报告的，除由机构自行承担责任外，税务局局可采取必要措施终止委托，情节严重的，依法提请有关部门追究单位和相关责任人的行政及法律责任。</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（3）违约责任</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①成交人有下列行为，视为违约，违约一次，根据其情节轻重，按约定审核事项费用总额的10%-30%承担违约责任；累计两次违约，采购人有权终止合同：</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发现其提供的磋商响应文件有虚假内容的；</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未能按照采购人规定的工作程序进行</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复审工作；</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未能按照采购人规定的工作时限完成</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复审工作；</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审核报告有失客观性、真实性、合法性；</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未对执行业务过程中知悉的企业商业秘密、个人隐私严加保密，造成不良后果的。</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税务师事务所及派驻人员其他有违执业纪律和职业道德的行为。</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②如有上述违约行为，情节严重，涉及到刑事责任的，将按照法律规定追究事务所及事</w:t>
      </w:r>
      <w:r w:rsidRPr="003B784D">
        <w:rPr>
          <w:rFonts w:ascii="宋体" w:hAnsi="宋体" w:cs="楷体" w:hint="eastAsia"/>
          <w:bCs/>
          <w:kern w:val="0"/>
          <w:szCs w:val="21"/>
          <w:lang w:val="zh-CN"/>
        </w:rPr>
        <w:lastRenderedPageBreak/>
        <w:t>务所相关人员的责任。</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（4）委托</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复审业务工作的开展事务所人员负责协助税务工作人员进行土地增值税清算审核。</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（二）具体工作内容参照国税发[2007]132号关于印发《土地增值税清算</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业务准则》的通知及江苏省、镇江市税务局公开发文的相关规定。</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（三）其他</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1、成交人应严格按照现行税收相关法律、法规和政策规定，本着独立、客观、公正的原则，对甲方提供的有关资料进行审核</w:t>
      </w:r>
      <w:proofErr w:type="gramStart"/>
      <w:r w:rsidRPr="003B784D">
        <w:rPr>
          <w:rFonts w:ascii="宋体" w:hAnsi="宋体" w:cs="楷体" w:hint="eastAsia"/>
          <w:bCs/>
          <w:kern w:val="0"/>
          <w:szCs w:val="21"/>
          <w:lang w:val="zh-CN"/>
        </w:rPr>
        <w:t>鉴证</w:t>
      </w:r>
      <w:proofErr w:type="gramEnd"/>
      <w:r w:rsidRPr="003B784D">
        <w:rPr>
          <w:rFonts w:ascii="宋体" w:hAnsi="宋体" w:cs="楷体" w:hint="eastAsia"/>
          <w:bCs/>
          <w:kern w:val="0"/>
          <w:szCs w:val="21"/>
          <w:lang w:val="zh-CN"/>
        </w:rPr>
        <w:t>，出具报告。</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2、成交人应当制定合理计划和实施能够获取充分、适当、真实证据的审核程序，为甲方的委托事项提供合理保证。</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3、成交人应当按照约定时间保质保量完成委托事项。</w:t>
      </w:r>
    </w:p>
    <w:p w:rsidR="00251C21" w:rsidRPr="003B784D" w:rsidRDefault="00251C21" w:rsidP="00251C21">
      <w:pPr>
        <w:spacing w:line="360" w:lineRule="auto"/>
        <w:ind w:firstLineChars="200" w:firstLine="420"/>
        <w:rPr>
          <w:rFonts w:ascii="宋体" w:hAnsi="宋体" w:cs="楷体"/>
          <w:bCs/>
          <w:kern w:val="0"/>
          <w:szCs w:val="21"/>
          <w:lang w:val="zh-CN"/>
        </w:rPr>
      </w:pPr>
      <w:r w:rsidRPr="003B784D">
        <w:rPr>
          <w:rFonts w:ascii="宋体" w:hAnsi="宋体" w:cs="楷体" w:hint="eastAsia"/>
          <w:bCs/>
          <w:kern w:val="0"/>
          <w:szCs w:val="21"/>
          <w:lang w:val="zh-CN"/>
        </w:rPr>
        <w:t>4、成交人应严格履行保密义务。</w:t>
      </w:r>
    </w:p>
    <w:p w:rsidR="00251C21" w:rsidRPr="00CD58A7" w:rsidRDefault="00251C21" w:rsidP="00251C21">
      <w:pPr>
        <w:spacing w:line="360" w:lineRule="auto"/>
        <w:ind w:firstLineChars="200" w:firstLine="420"/>
        <w:rPr>
          <w:bCs/>
        </w:rPr>
      </w:pPr>
      <w:r w:rsidRPr="003B784D">
        <w:rPr>
          <w:rFonts w:ascii="宋体" w:hAnsi="宋体" w:cs="楷体" w:hint="eastAsia"/>
          <w:bCs/>
          <w:kern w:val="0"/>
          <w:szCs w:val="21"/>
          <w:lang w:val="zh-CN"/>
        </w:rPr>
        <w:t>5、供应商可提供的其他优惠服务。</w:t>
      </w:r>
    </w:p>
    <w:p w:rsidR="00251C21" w:rsidRPr="00CD58A7" w:rsidRDefault="00251C21" w:rsidP="00251C21">
      <w:pPr>
        <w:shd w:val="clear" w:color="auto" w:fill="FFFFFF"/>
        <w:topLinePunct/>
        <w:spacing w:before="100" w:beforeAutospacing="1" w:after="100" w:afterAutospacing="1" w:line="300" w:lineRule="exact"/>
        <w:jc w:val="left"/>
        <w:outlineLvl w:val="0"/>
        <w:rPr>
          <w:rFonts w:ascii="楷体" w:eastAsia="楷体" w:hAnsi="楷体"/>
          <w:b/>
          <w:bCs/>
          <w:kern w:val="44"/>
          <w:sz w:val="28"/>
          <w:szCs w:val="28"/>
        </w:rPr>
      </w:pPr>
      <w:r w:rsidRPr="00CD58A7">
        <w:rPr>
          <w:rFonts w:ascii="楷体" w:eastAsia="楷体" w:hAnsi="楷体" w:hint="eastAsia"/>
          <w:b/>
          <w:bCs/>
          <w:kern w:val="44"/>
          <w:sz w:val="28"/>
          <w:szCs w:val="28"/>
        </w:rPr>
        <w:t>三、</w:t>
      </w:r>
      <w:r w:rsidRPr="00CD58A7">
        <w:rPr>
          <w:rFonts w:ascii="楷体" w:eastAsia="楷体" w:hAnsi="楷体"/>
          <w:b/>
          <w:bCs/>
          <w:kern w:val="44"/>
          <w:sz w:val="28"/>
          <w:szCs w:val="28"/>
        </w:rPr>
        <w:t>商务部分</w:t>
      </w:r>
    </w:p>
    <w:p w:rsidR="00251C21" w:rsidRPr="00CD58A7" w:rsidRDefault="00251C21" w:rsidP="00251C21">
      <w:pPr>
        <w:shd w:val="clear" w:color="auto" w:fill="FFFFFF"/>
        <w:topLinePunct/>
        <w:spacing w:before="100" w:beforeAutospacing="1" w:after="100" w:afterAutospacing="1" w:line="480" w:lineRule="auto"/>
        <w:ind w:firstLineChars="100" w:firstLine="211"/>
        <w:jc w:val="left"/>
        <w:outlineLvl w:val="0"/>
        <w:rPr>
          <w:rFonts w:ascii="宋体" w:hAnsi="宋体"/>
          <w:color w:val="000000"/>
          <w:szCs w:val="21"/>
        </w:rPr>
      </w:pPr>
      <w:r w:rsidRPr="00CD58A7">
        <w:rPr>
          <w:rFonts w:ascii="宋体" w:hAnsi="宋体" w:cs="宋体" w:hint="eastAsia"/>
          <w:b/>
          <w:szCs w:val="21"/>
          <w:lang w:val="zh-CN"/>
        </w:rPr>
        <w:t>★</w:t>
      </w:r>
      <w:r w:rsidRPr="00CD58A7">
        <w:rPr>
          <w:rFonts w:ascii="宋体" w:hAnsi="宋体"/>
          <w:b/>
          <w:szCs w:val="21"/>
        </w:rPr>
        <w:t>1．完工期：</w:t>
      </w:r>
      <w:r w:rsidRPr="00450CE5">
        <w:rPr>
          <w:rFonts w:ascii="宋体" w:hAnsi="宋体" w:hint="eastAsia"/>
          <w:color w:val="000000"/>
          <w:szCs w:val="21"/>
        </w:rPr>
        <w:t>2021年</w:t>
      </w:r>
      <w:r>
        <w:rPr>
          <w:rFonts w:ascii="宋体" w:hAnsi="宋体" w:hint="eastAsia"/>
          <w:color w:val="000000"/>
          <w:szCs w:val="21"/>
        </w:rPr>
        <w:t>11</w:t>
      </w:r>
      <w:r w:rsidRPr="00450CE5">
        <w:rPr>
          <w:rFonts w:ascii="宋体" w:hAnsi="宋体" w:hint="eastAsia"/>
          <w:color w:val="000000"/>
          <w:szCs w:val="21"/>
        </w:rPr>
        <w:t>月</w:t>
      </w:r>
      <w:r>
        <w:rPr>
          <w:rFonts w:ascii="宋体" w:hAnsi="宋体" w:hint="eastAsia"/>
          <w:color w:val="000000"/>
          <w:szCs w:val="21"/>
        </w:rPr>
        <w:t>30</w:t>
      </w:r>
      <w:r w:rsidRPr="00450CE5">
        <w:rPr>
          <w:rFonts w:ascii="宋体" w:hAnsi="宋体" w:hint="eastAsia"/>
          <w:color w:val="000000"/>
          <w:szCs w:val="21"/>
        </w:rPr>
        <w:t>日前完成清算申报</w:t>
      </w:r>
      <w:r w:rsidRPr="00CD58A7">
        <w:rPr>
          <w:rFonts w:ascii="宋体" w:hAnsi="宋体" w:hint="eastAsia"/>
          <w:color w:val="000000"/>
          <w:szCs w:val="21"/>
        </w:rPr>
        <w:t>。</w:t>
      </w:r>
    </w:p>
    <w:p w:rsidR="00251C21" w:rsidRDefault="00251C21" w:rsidP="00251C21">
      <w:pPr>
        <w:shd w:val="clear" w:color="auto" w:fill="FFFFFF"/>
        <w:topLinePunct/>
        <w:spacing w:before="100" w:beforeAutospacing="1" w:after="100" w:afterAutospacing="1" w:line="480" w:lineRule="auto"/>
        <w:ind w:firstLineChars="100" w:firstLine="211"/>
        <w:jc w:val="left"/>
        <w:outlineLvl w:val="0"/>
        <w:rPr>
          <w:rFonts w:ascii="宋体" w:hAnsi="宋体"/>
          <w:b/>
          <w:color w:val="000000"/>
          <w:kern w:val="0"/>
          <w:szCs w:val="21"/>
        </w:rPr>
      </w:pPr>
      <w:r w:rsidRPr="00CD58A7">
        <w:rPr>
          <w:rFonts w:ascii="宋体" w:hAnsi="宋体" w:hint="eastAsia"/>
          <w:b/>
          <w:color w:val="000000"/>
          <w:kern w:val="0"/>
          <w:szCs w:val="21"/>
        </w:rPr>
        <w:t>2</w:t>
      </w:r>
      <w:r w:rsidRPr="00CD58A7">
        <w:rPr>
          <w:rFonts w:ascii="宋体" w:hAnsi="宋体"/>
          <w:b/>
          <w:color w:val="000000"/>
          <w:kern w:val="0"/>
          <w:szCs w:val="21"/>
        </w:rPr>
        <w:t>、采购预算：</w:t>
      </w:r>
      <w:r>
        <w:rPr>
          <w:rFonts w:ascii="宋体" w:hAnsi="宋体" w:hint="eastAsia"/>
          <w:b/>
          <w:color w:val="000000"/>
          <w:kern w:val="0"/>
          <w:szCs w:val="21"/>
        </w:rPr>
        <w:t>920</w:t>
      </w:r>
      <w:r w:rsidRPr="00CD58A7">
        <w:rPr>
          <w:rFonts w:ascii="宋体" w:hAnsi="宋体"/>
          <w:b/>
          <w:color w:val="000000"/>
          <w:kern w:val="0"/>
          <w:szCs w:val="21"/>
        </w:rPr>
        <w:t>000</w:t>
      </w:r>
      <w:r>
        <w:rPr>
          <w:rFonts w:ascii="宋体" w:hAnsi="宋体" w:hint="eastAsia"/>
          <w:b/>
          <w:color w:val="000000"/>
          <w:kern w:val="0"/>
          <w:szCs w:val="21"/>
        </w:rPr>
        <w:t>元</w:t>
      </w:r>
    </w:p>
    <w:p w:rsidR="00251C21" w:rsidRPr="00CD58A7" w:rsidRDefault="00251C21" w:rsidP="00251C21">
      <w:pPr>
        <w:shd w:val="clear" w:color="auto" w:fill="FFFFFF"/>
        <w:topLinePunct/>
        <w:spacing w:before="100" w:beforeAutospacing="1" w:after="100" w:afterAutospacing="1" w:line="480" w:lineRule="auto"/>
        <w:ind w:firstLineChars="100" w:firstLine="211"/>
        <w:jc w:val="left"/>
        <w:outlineLvl w:val="0"/>
        <w:rPr>
          <w:rFonts w:ascii="宋体" w:hAnsi="宋体"/>
          <w:b/>
          <w:color w:val="000000"/>
          <w:kern w:val="0"/>
          <w:szCs w:val="21"/>
        </w:rPr>
      </w:pPr>
      <w:r w:rsidRPr="00CD58A7">
        <w:rPr>
          <w:rFonts w:ascii="宋体" w:hAnsi="宋体" w:cs="宋体" w:hint="eastAsia"/>
          <w:b/>
          <w:szCs w:val="21"/>
          <w:lang w:val="zh-CN"/>
        </w:rPr>
        <w:t>★</w:t>
      </w:r>
      <w:r>
        <w:rPr>
          <w:rFonts w:ascii="宋体" w:hAnsi="宋体" w:hint="eastAsia"/>
          <w:b/>
          <w:color w:val="000000"/>
          <w:kern w:val="0"/>
          <w:szCs w:val="21"/>
        </w:rPr>
        <w:t>3、</w:t>
      </w:r>
      <w:r w:rsidRPr="00CD58A7">
        <w:rPr>
          <w:rFonts w:ascii="宋体" w:hAnsi="宋体"/>
          <w:b/>
          <w:color w:val="000000"/>
          <w:kern w:val="0"/>
          <w:szCs w:val="21"/>
        </w:rPr>
        <w:t>最高限价</w:t>
      </w:r>
      <w:r>
        <w:rPr>
          <w:rFonts w:ascii="宋体" w:hAnsi="宋体"/>
          <w:b/>
          <w:color w:val="000000"/>
          <w:kern w:val="0"/>
          <w:szCs w:val="21"/>
        </w:rPr>
        <w:t>：单价不超过</w:t>
      </w:r>
      <w:r w:rsidRPr="00561638">
        <w:rPr>
          <w:rFonts w:ascii="宋体" w:hAnsi="宋体" w:hint="eastAsia"/>
          <w:b/>
          <w:color w:val="000000"/>
          <w:kern w:val="0"/>
          <w:szCs w:val="21"/>
        </w:rPr>
        <w:t>1.2元/平方米，</w:t>
      </w:r>
      <w:r>
        <w:rPr>
          <w:rFonts w:ascii="宋体" w:hAnsi="宋体"/>
          <w:b/>
          <w:color w:val="000000"/>
          <w:kern w:val="0"/>
          <w:szCs w:val="21"/>
        </w:rPr>
        <w:t>且总价不超过</w:t>
      </w:r>
      <w:r>
        <w:rPr>
          <w:rFonts w:ascii="宋体" w:hAnsi="宋体" w:hint="eastAsia"/>
          <w:b/>
          <w:color w:val="000000"/>
          <w:kern w:val="0"/>
          <w:szCs w:val="21"/>
        </w:rPr>
        <w:t>92万元，</w:t>
      </w:r>
      <w:r w:rsidRPr="00561638">
        <w:rPr>
          <w:rFonts w:ascii="宋体" w:hAnsi="宋体" w:hint="eastAsia"/>
          <w:b/>
          <w:color w:val="000000"/>
          <w:kern w:val="0"/>
          <w:szCs w:val="21"/>
        </w:rPr>
        <w:t>磋商报价超过最高限价的为无效报价，按照</w:t>
      </w:r>
      <w:proofErr w:type="gramStart"/>
      <w:r w:rsidRPr="00561638">
        <w:rPr>
          <w:rFonts w:ascii="宋体" w:hAnsi="宋体" w:hint="eastAsia"/>
          <w:b/>
          <w:color w:val="000000"/>
          <w:kern w:val="0"/>
          <w:szCs w:val="21"/>
        </w:rPr>
        <w:t>无效磋商</w:t>
      </w:r>
      <w:proofErr w:type="gramEnd"/>
      <w:r w:rsidRPr="00561638">
        <w:rPr>
          <w:rFonts w:ascii="宋体" w:hAnsi="宋体" w:hint="eastAsia"/>
          <w:b/>
          <w:color w:val="000000"/>
          <w:kern w:val="0"/>
          <w:szCs w:val="21"/>
        </w:rPr>
        <w:t>响应处理。</w:t>
      </w:r>
    </w:p>
    <w:p w:rsidR="00251C21" w:rsidRPr="00CD58A7" w:rsidRDefault="00251C21" w:rsidP="00251C21">
      <w:pPr>
        <w:topLinePunct/>
        <w:spacing w:line="480" w:lineRule="auto"/>
        <w:ind w:firstLine="200"/>
        <w:rPr>
          <w:rFonts w:ascii="宋体" w:hAnsi="宋体" w:cs="宋体"/>
          <w:bCs/>
          <w:szCs w:val="21"/>
        </w:rPr>
      </w:pPr>
      <w:r w:rsidRPr="00007303">
        <w:rPr>
          <w:rFonts w:ascii="宋体" w:hAnsi="宋体" w:cs="宋体" w:hint="eastAsia"/>
          <w:b/>
          <w:szCs w:val="21"/>
          <w:lang w:val="zh-CN"/>
        </w:rPr>
        <w:t>★</w:t>
      </w:r>
      <w:r w:rsidRPr="00007303">
        <w:rPr>
          <w:rFonts w:ascii="宋体" w:hAnsi="宋体" w:cs="宋体" w:hint="eastAsia"/>
          <w:b/>
          <w:szCs w:val="21"/>
        </w:rPr>
        <w:t>3</w:t>
      </w:r>
      <w:r w:rsidRPr="00007303">
        <w:rPr>
          <w:rFonts w:ascii="宋体" w:hAnsi="宋体" w:hint="eastAsia"/>
          <w:b/>
          <w:szCs w:val="21"/>
        </w:rPr>
        <w:t>、</w:t>
      </w:r>
      <w:r w:rsidRPr="00007303">
        <w:rPr>
          <w:rFonts w:ascii="宋体" w:hAnsi="宋体"/>
          <w:b/>
          <w:szCs w:val="21"/>
        </w:rPr>
        <w:t xml:space="preserve"> 付款方式：</w:t>
      </w:r>
      <w:r>
        <w:rPr>
          <w:rFonts w:ascii="宋体" w:hAnsi="宋体"/>
          <w:b/>
          <w:szCs w:val="21"/>
        </w:rPr>
        <w:t>签订合同</w:t>
      </w:r>
      <w:r w:rsidRPr="00007303">
        <w:rPr>
          <w:rFonts w:ascii="宋体" w:hAnsi="宋体"/>
          <w:b/>
          <w:szCs w:val="21"/>
        </w:rPr>
        <w:t>后</w:t>
      </w:r>
      <w:r w:rsidRPr="00007303">
        <w:rPr>
          <w:rFonts w:ascii="宋体" w:hAnsi="宋体" w:hint="eastAsia"/>
          <w:b/>
          <w:szCs w:val="21"/>
        </w:rPr>
        <w:t>10个工作日内</w:t>
      </w:r>
      <w:proofErr w:type="gramStart"/>
      <w:r w:rsidRPr="00007303">
        <w:rPr>
          <w:rFonts w:ascii="宋体" w:hAnsi="宋体"/>
          <w:b/>
          <w:szCs w:val="21"/>
        </w:rPr>
        <w:t>付合同</w:t>
      </w:r>
      <w:proofErr w:type="gramEnd"/>
      <w:r w:rsidRPr="00007303">
        <w:rPr>
          <w:rFonts w:ascii="宋体" w:hAnsi="宋体"/>
          <w:b/>
          <w:szCs w:val="21"/>
        </w:rPr>
        <w:t>金额的</w:t>
      </w:r>
      <w:r w:rsidRPr="00007303">
        <w:rPr>
          <w:rFonts w:ascii="宋体" w:hAnsi="宋体" w:hint="eastAsia"/>
          <w:b/>
          <w:szCs w:val="21"/>
        </w:rPr>
        <w:t>50%，</w:t>
      </w:r>
      <w:r w:rsidRPr="00042F71">
        <w:rPr>
          <w:rFonts w:ascii="宋体" w:hAnsi="宋体" w:hint="eastAsia"/>
          <w:b/>
          <w:szCs w:val="21"/>
        </w:rPr>
        <w:t>项目</w:t>
      </w:r>
      <w:r w:rsidRPr="00042F71">
        <w:rPr>
          <w:rStyle w:val="a5"/>
          <w:rFonts w:hint="eastAsia"/>
          <w:b/>
        </w:rPr>
        <w:t>清算</w:t>
      </w:r>
      <w:r w:rsidRPr="00042F71">
        <w:rPr>
          <w:rFonts w:ascii="宋体" w:hAnsi="宋体" w:hint="eastAsia"/>
          <w:b/>
          <w:szCs w:val="21"/>
        </w:rPr>
        <w:t>结束</w:t>
      </w:r>
      <w:r w:rsidRPr="00007303">
        <w:rPr>
          <w:rFonts w:ascii="宋体" w:hAnsi="宋体" w:hint="eastAsia"/>
          <w:b/>
          <w:szCs w:val="21"/>
        </w:rPr>
        <w:t>且验收合格后付清余款。</w:t>
      </w:r>
      <w:r w:rsidRPr="00CD58A7">
        <w:rPr>
          <w:rFonts w:ascii="宋体" w:hAnsi="宋体" w:cs="宋体"/>
          <w:bCs/>
          <w:szCs w:val="21"/>
        </w:rPr>
        <w:t xml:space="preserve"> </w:t>
      </w:r>
    </w:p>
    <w:p w:rsidR="00251C21" w:rsidRPr="00CD58A7" w:rsidRDefault="00251C21" w:rsidP="00251C21">
      <w:pPr>
        <w:topLinePunct/>
        <w:spacing w:line="480" w:lineRule="auto"/>
        <w:ind w:firstLine="200"/>
        <w:rPr>
          <w:rFonts w:ascii="宋体" w:hAnsi="宋体"/>
          <w:b/>
          <w:szCs w:val="21"/>
        </w:rPr>
      </w:pPr>
      <w:r w:rsidRPr="00CD58A7">
        <w:rPr>
          <w:rFonts w:ascii="宋体" w:hAnsi="宋体" w:cs="宋体" w:hint="eastAsia"/>
          <w:b/>
          <w:szCs w:val="21"/>
          <w:lang w:val="zh-CN"/>
        </w:rPr>
        <w:t>★</w:t>
      </w:r>
      <w:r w:rsidRPr="00CD58A7">
        <w:rPr>
          <w:rFonts w:ascii="宋体" w:hAnsi="宋体" w:hint="eastAsia"/>
          <w:b/>
          <w:szCs w:val="21"/>
        </w:rPr>
        <w:t>4、 投标货币：投标文件中的所有设备单价和总价采用人民币报价，以元为单位标注。</w:t>
      </w:r>
    </w:p>
    <w:p w:rsidR="00251C21" w:rsidRDefault="00251C21" w:rsidP="00251C21">
      <w:pPr>
        <w:topLinePunct/>
        <w:spacing w:line="360" w:lineRule="auto"/>
        <w:ind w:firstLine="200"/>
        <w:rPr>
          <w:color w:val="000000"/>
          <w:szCs w:val="21"/>
        </w:rPr>
      </w:pPr>
      <w:r w:rsidRPr="00CD58A7">
        <w:rPr>
          <w:rFonts w:hint="eastAsia"/>
          <w:color w:val="000000"/>
          <w:szCs w:val="21"/>
        </w:rPr>
        <w:t>5</w:t>
      </w:r>
      <w:r w:rsidRPr="00CD58A7">
        <w:rPr>
          <w:rFonts w:hint="eastAsia"/>
          <w:color w:val="000000"/>
          <w:szCs w:val="21"/>
        </w:rPr>
        <w:t>、中标人数量：</w:t>
      </w:r>
      <w:r>
        <w:rPr>
          <w:rFonts w:hint="eastAsia"/>
          <w:color w:val="000000"/>
          <w:szCs w:val="21"/>
        </w:rPr>
        <w:t>1</w:t>
      </w:r>
      <w:r w:rsidRPr="00CD58A7">
        <w:rPr>
          <w:rFonts w:hint="eastAsia"/>
          <w:color w:val="000000"/>
          <w:szCs w:val="21"/>
        </w:rPr>
        <w:t>名</w:t>
      </w:r>
    </w:p>
    <w:p w:rsidR="00251C21" w:rsidRPr="00CD58A7" w:rsidRDefault="00251C21" w:rsidP="00251C21">
      <w:pPr>
        <w:shd w:val="clear" w:color="auto" w:fill="FFFFFF"/>
        <w:topLinePunct/>
        <w:spacing w:before="100" w:beforeAutospacing="1" w:after="100" w:afterAutospacing="1" w:line="300" w:lineRule="exact"/>
        <w:ind w:firstLineChars="100" w:firstLine="211"/>
        <w:jc w:val="left"/>
        <w:outlineLvl w:val="0"/>
        <w:rPr>
          <w:rFonts w:ascii="宋体" w:hAnsi="宋体"/>
          <w:b/>
          <w:color w:val="000000"/>
          <w:kern w:val="0"/>
          <w:szCs w:val="21"/>
        </w:rPr>
      </w:pPr>
      <w:r w:rsidRPr="00CD58A7">
        <w:rPr>
          <w:rFonts w:ascii="宋体" w:hAnsi="宋体" w:hint="eastAsia"/>
          <w:b/>
          <w:color w:val="000000"/>
          <w:kern w:val="0"/>
          <w:szCs w:val="21"/>
        </w:rPr>
        <w:t>四</w:t>
      </w:r>
      <w:r w:rsidRPr="00CD58A7">
        <w:rPr>
          <w:rFonts w:ascii="宋体" w:hAnsi="宋体"/>
          <w:b/>
          <w:color w:val="000000"/>
          <w:kern w:val="0"/>
          <w:szCs w:val="21"/>
        </w:rPr>
        <w:t>、</w:t>
      </w:r>
      <w:r>
        <w:rPr>
          <w:rFonts w:ascii="宋体" w:hAnsi="宋体"/>
          <w:b/>
          <w:color w:val="000000"/>
          <w:kern w:val="0"/>
          <w:szCs w:val="21"/>
        </w:rPr>
        <w:t>其他</w:t>
      </w:r>
    </w:p>
    <w:p w:rsidR="00251C21" w:rsidRPr="00206FF4" w:rsidRDefault="00251C21" w:rsidP="00251C21">
      <w:pPr>
        <w:topLinePunct/>
        <w:spacing w:line="360" w:lineRule="auto"/>
        <w:ind w:firstLine="200"/>
        <w:rPr>
          <w:rFonts w:ascii="宋体" w:hAnsi="宋体"/>
          <w:b/>
          <w:szCs w:val="21"/>
        </w:rPr>
      </w:pPr>
      <w:r w:rsidRPr="00206FF4">
        <w:rPr>
          <w:rFonts w:ascii="宋体" w:hAnsi="宋体" w:cs="宋体" w:hint="eastAsia"/>
          <w:b/>
          <w:szCs w:val="21"/>
          <w:lang w:val="zh-CN"/>
        </w:rPr>
        <w:t>★</w:t>
      </w:r>
      <w:r>
        <w:rPr>
          <w:rFonts w:ascii="宋体" w:hAnsi="宋体" w:hint="eastAsia"/>
          <w:b/>
          <w:szCs w:val="21"/>
        </w:rPr>
        <w:t>1</w:t>
      </w:r>
      <w:r w:rsidRPr="00206FF4">
        <w:rPr>
          <w:rFonts w:ascii="宋体" w:hAnsi="宋体" w:hint="eastAsia"/>
          <w:b/>
          <w:szCs w:val="21"/>
        </w:rPr>
        <w:t>、验收要求：</w:t>
      </w:r>
    </w:p>
    <w:p w:rsidR="00251C21" w:rsidRPr="00206FF4" w:rsidRDefault="00251C21" w:rsidP="00251C21">
      <w:pPr>
        <w:topLinePunct/>
        <w:spacing w:line="360" w:lineRule="auto"/>
        <w:ind w:firstLineChars="194" w:firstLine="407"/>
        <w:rPr>
          <w:rFonts w:ascii="宋体" w:hAnsi="宋体" w:cs="宋体"/>
          <w:szCs w:val="21"/>
        </w:rPr>
      </w:pPr>
      <w:r>
        <w:rPr>
          <w:rFonts w:ascii="宋体" w:hAnsi="宋体" w:cs="宋体" w:hint="eastAsia"/>
          <w:szCs w:val="21"/>
        </w:rPr>
        <w:lastRenderedPageBreak/>
        <w:t>1</w:t>
      </w:r>
      <w:r w:rsidRPr="00206FF4">
        <w:rPr>
          <w:rFonts w:ascii="宋体" w:hAnsi="宋体" w:cs="宋体" w:hint="eastAsia"/>
          <w:szCs w:val="21"/>
        </w:rPr>
        <w:t>.1质量标准必须满足国家、江苏省、镇江市、丹阳市相关标准的要求。</w:t>
      </w:r>
    </w:p>
    <w:p w:rsidR="00251C21" w:rsidRPr="00CD58A7" w:rsidRDefault="00251C21" w:rsidP="00251C21">
      <w:pPr>
        <w:topLinePunct/>
        <w:spacing w:line="360" w:lineRule="auto"/>
        <w:ind w:firstLineChars="200" w:firstLine="420"/>
        <w:rPr>
          <w:rFonts w:ascii="宋体" w:hAnsi="宋体" w:cs="宋体"/>
          <w:szCs w:val="21"/>
        </w:rPr>
      </w:pPr>
      <w:r>
        <w:rPr>
          <w:rFonts w:ascii="宋体" w:hAnsi="宋体" w:cs="宋体" w:hint="eastAsia"/>
          <w:szCs w:val="21"/>
        </w:rPr>
        <w:t>1</w:t>
      </w:r>
      <w:r w:rsidRPr="00206FF4">
        <w:rPr>
          <w:rFonts w:ascii="宋体" w:hAnsi="宋体" w:cs="宋体" w:hint="eastAsia"/>
          <w:szCs w:val="21"/>
        </w:rPr>
        <w:t>.2采购文件、供应商投标文件、最终的合同均作为验收依据。</w:t>
      </w:r>
    </w:p>
    <w:p w:rsidR="00251C21" w:rsidRPr="00CD58A7" w:rsidRDefault="00251C21" w:rsidP="00251C21">
      <w:pPr>
        <w:topLinePunct/>
        <w:spacing w:line="360" w:lineRule="auto"/>
        <w:ind w:firstLineChars="100" w:firstLine="211"/>
        <w:rPr>
          <w:rFonts w:ascii="宋体" w:hAnsi="宋体"/>
          <w:b/>
          <w:bCs/>
          <w:szCs w:val="21"/>
        </w:rPr>
      </w:pPr>
      <w:r w:rsidRPr="00CD58A7">
        <w:rPr>
          <w:rFonts w:ascii="宋体" w:hAnsi="宋体" w:cs="宋体" w:hint="eastAsia"/>
          <w:b/>
          <w:szCs w:val="21"/>
          <w:lang w:val="zh-CN"/>
        </w:rPr>
        <w:t>★</w:t>
      </w:r>
      <w:r>
        <w:rPr>
          <w:rFonts w:ascii="宋体" w:hAnsi="宋体" w:hint="eastAsia"/>
          <w:b/>
          <w:bCs/>
          <w:szCs w:val="21"/>
        </w:rPr>
        <w:t>2</w:t>
      </w:r>
      <w:r w:rsidRPr="00CD58A7">
        <w:rPr>
          <w:rFonts w:ascii="宋体" w:hAnsi="宋体" w:hint="eastAsia"/>
          <w:b/>
          <w:bCs/>
          <w:szCs w:val="21"/>
        </w:rPr>
        <w:t>.知识产权</w:t>
      </w:r>
    </w:p>
    <w:p w:rsidR="00251C21" w:rsidRPr="00CD58A7" w:rsidRDefault="00251C21" w:rsidP="00251C21">
      <w:pPr>
        <w:topLinePunct/>
        <w:spacing w:line="360" w:lineRule="auto"/>
        <w:ind w:firstLineChars="200" w:firstLine="420"/>
        <w:rPr>
          <w:rFonts w:ascii="宋体" w:hAnsi="宋体"/>
          <w:szCs w:val="21"/>
        </w:rPr>
      </w:pPr>
      <w:r w:rsidRPr="00CD58A7">
        <w:rPr>
          <w:rFonts w:ascii="宋体" w:hAnsi="宋体" w:hint="eastAsia"/>
          <w:szCs w:val="21"/>
        </w:rPr>
        <w:t>供应商须保证采购方在使用其提供的服务或其任何部分时不受到第三方提出的关于侵犯其版权、专利权、商标权或其他权利的指控，一旦出现此类情况，供应商负责与第三方交涉并承担可能发生的一切责任。</w:t>
      </w:r>
    </w:p>
    <w:p w:rsidR="00251C21" w:rsidRPr="00CD58A7" w:rsidRDefault="00251C21" w:rsidP="00251C21">
      <w:pPr>
        <w:topLinePunct/>
        <w:spacing w:line="360" w:lineRule="auto"/>
        <w:ind w:firstLineChars="200" w:firstLine="420"/>
        <w:rPr>
          <w:rFonts w:ascii="宋体" w:hAnsi="宋体" w:cs="宋体"/>
          <w:szCs w:val="21"/>
        </w:rPr>
      </w:pPr>
      <w:r w:rsidRPr="00057747">
        <w:rPr>
          <w:rFonts w:ascii="宋体" w:hAnsi="宋体" w:cs="宋体" w:hint="eastAsia"/>
          <w:szCs w:val="21"/>
        </w:rPr>
        <w:t>供应商提交的所有投标文件及成果，其所有权均归采购人所有，采购人可任意使用其全部成果。成交及未成交供应商的投标文件在递交后均不予退回。</w:t>
      </w:r>
    </w:p>
    <w:p w:rsidR="00251C21" w:rsidRPr="00CD58A7" w:rsidRDefault="00251C21" w:rsidP="00251C21">
      <w:pPr>
        <w:topLinePunct/>
        <w:spacing w:line="300" w:lineRule="exact"/>
        <w:ind w:firstLine="200"/>
        <w:rPr>
          <w:rFonts w:ascii="宋体" w:hAnsi="宋体"/>
          <w:szCs w:val="21"/>
        </w:rPr>
      </w:pPr>
    </w:p>
    <w:p w:rsidR="00251C21" w:rsidRPr="00CD58A7" w:rsidRDefault="00251C21" w:rsidP="00251C21">
      <w:pPr>
        <w:spacing w:line="360" w:lineRule="auto"/>
        <w:ind w:firstLineChars="200" w:firstLine="422"/>
        <w:rPr>
          <w:rFonts w:ascii="宋体" w:hAnsi="宋体"/>
          <w:b/>
          <w:color w:val="FF3300"/>
          <w:szCs w:val="21"/>
        </w:rPr>
      </w:pPr>
      <w:r w:rsidRPr="00CD58A7">
        <w:rPr>
          <w:rFonts w:ascii="宋体" w:hAnsi="宋体" w:hint="eastAsia"/>
          <w:b/>
          <w:color w:val="FF3300"/>
          <w:szCs w:val="21"/>
        </w:rPr>
        <w:t>注：对项目需求部分的询问、质疑请向采购人提出，询问、质疑有采购人负责解释。</w:t>
      </w:r>
    </w:p>
    <w:p w:rsidR="00F5644C" w:rsidRPr="00EC1EC5" w:rsidRDefault="00251C21" w:rsidP="00251C21">
      <w:pPr>
        <w:keepNext/>
        <w:keepLines/>
        <w:spacing w:line="360" w:lineRule="auto"/>
        <w:ind w:firstLineChars="200" w:firstLine="422"/>
        <w:outlineLvl w:val="0"/>
        <w:rPr>
          <w:rFonts w:ascii="宋体" w:hAnsi="宋体"/>
          <w:b/>
          <w:bCs/>
          <w:kern w:val="44"/>
          <w:szCs w:val="21"/>
        </w:rPr>
      </w:pPr>
      <w:r w:rsidRPr="00CD58A7">
        <w:rPr>
          <w:rFonts w:ascii="宋体" w:hAnsi="宋体"/>
          <w:b/>
          <w:color w:val="FF3300"/>
          <w:szCs w:val="21"/>
        </w:rPr>
        <w:t>本部分标注“</w:t>
      </w:r>
      <w:r w:rsidRPr="00CD58A7">
        <w:rPr>
          <w:rFonts w:ascii="宋体" w:hAnsi="宋体" w:cs="宋体" w:hint="eastAsia"/>
          <w:b/>
          <w:color w:val="FF0000"/>
          <w:szCs w:val="21"/>
          <w:lang w:val="zh-CN"/>
        </w:rPr>
        <w:t>★</w:t>
      </w:r>
      <w:r w:rsidRPr="00CD58A7">
        <w:rPr>
          <w:rFonts w:ascii="宋体" w:hAnsi="宋体"/>
          <w:b/>
          <w:color w:val="FF3300"/>
          <w:szCs w:val="21"/>
        </w:rPr>
        <w:t>”实质性要求，</w:t>
      </w:r>
      <w:r w:rsidRPr="00CD58A7">
        <w:rPr>
          <w:rFonts w:ascii="宋体" w:hAnsi="宋体" w:hint="eastAsia"/>
          <w:b/>
          <w:color w:val="FF3300"/>
          <w:szCs w:val="21"/>
        </w:rPr>
        <w:t>必须响应，</w:t>
      </w:r>
      <w:r w:rsidRPr="00CD58A7">
        <w:rPr>
          <w:rFonts w:ascii="宋体" w:hAnsi="宋体"/>
          <w:b/>
          <w:color w:val="FF3300"/>
          <w:szCs w:val="21"/>
        </w:rPr>
        <w:t>不允许负偏离，否则作为无效投标</w:t>
      </w:r>
      <w:r w:rsidRPr="00CD58A7">
        <w:rPr>
          <w:rFonts w:ascii="宋体" w:hAnsi="宋体" w:hint="eastAsia"/>
          <w:b/>
          <w:color w:val="FF3300"/>
          <w:szCs w:val="21"/>
        </w:rPr>
        <w:t>处理</w:t>
      </w:r>
      <w:r w:rsidRPr="00CD58A7">
        <w:rPr>
          <w:rFonts w:ascii="宋体" w:hAnsi="宋体"/>
          <w:b/>
          <w:color w:val="FF3300"/>
          <w:szCs w:val="21"/>
        </w:rPr>
        <w:t>。</w:t>
      </w:r>
      <w:bookmarkStart w:id="1" w:name="_GoBack"/>
      <w:bookmarkEnd w:id="1"/>
    </w:p>
    <w:bookmarkEnd w:id="0"/>
    <w:p w:rsidR="00A75120" w:rsidRPr="00F5644C" w:rsidRDefault="00A75120"/>
    <w:sectPr w:rsidR="00A75120" w:rsidRPr="00F56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6E8" w:rsidRDefault="00F246E8" w:rsidP="00F5644C">
      <w:r>
        <w:separator/>
      </w:r>
    </w:p>
  </w:endnote>
  <w:endnote w:type="continuationSeparator" w:id="0">
    <w:p w:rsidR="00F246E8" w:rsidRDefault="00F246E8" w:rsidP="00F5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6E8" w:rsidRDefault="00F246E8" w:rsidP="00F5644C">
      <w:r>
        <w:separator/>
      </w:r>
    </w:p>
  </w:footnote>
  <w:footnote w:type="continuationSeparator" w:id="0">
    <w:p w:rsidR="00F246E8" w:rsidRDefault="00F246E8" w:rsidP="00F56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0F5C"/>
    <w:multiLevelType w:val="multilevel"/>
    <w:tmpl w:val="33370F5C"/>
    <w:lvl w:ilvl="0">
      <w:start w:val="1"/>
      <w:numFmt w:val="japaneseCounting"/>
      <w:lvlText w:val="%1、"/>
      <w:lvlJc w:val="left"/>
      <w:pPr>
        <w:ind w:left="450" w:hanging="45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4F"/>
    <w:rsid w:val="00004380"/>
    <w:rsid w:val="0004374F"/>
    <w:rsid w:val="00251C21"/>
    <w:rsid w:val="00A75120"/>
    <w:rsid w:val="00F246E8"/>
    <w:rsid w:val="00F5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44C"/>
    <w:rPr>
      <w:sz w:val="18"/>
      <w:szCs w:val="18"/>
    </w:rPr>
  </w:style>
  <w:style w:type="paragraph" w:styleId="a4">
    <w:name w:val="footer"/>
    <w:basedOn w:val="a"/>
    <w:link w:val="Char0"/>
    <w:uiPriority w:val="99"/>
    <w:unhideWhenUsed/>
    <w:rsid w:val="00F5644C"/>
    <w:pPr>
      <w:tabs>
        <w:tab w:val="center" w:pos="4153"/>
        <w:tab w:val="right" w:pos="8306"/>
      </w:tabs>
      <w:snapToGrid w:val="0"/>
      <w:jc w:val="left"/>
    </w:pPr>
    <w:rPr>
      <w:sz w:val="18"/>
      <w:szCs w:val="18"/>
    </w:rPr>
  </w:style>
  <w:style w:type="character" w:customStyle="1" w:styleId="Char0">
    <w:name w:val="页脚 Char"/>
    <w:basedOn w:val="a0"/>
    <w:link w:val="a4"/>
    <w:uiPriority w:val="99"/>
    <w:rsid w:val="00F5644C"/>
    <w:rPr>
      <w:sz w:val="18"/>
      <w:szCs w:val="18"/>
    </w:rPr>
  </w:style>
  <w:style w:type="character" w:styleId="a5">
    <w:name w:val="annotation reference"/>
    <w:uiPriority w:val="99"/>
    <w:semiHidden/>
    <w:unhideWhenUsed/>
    <w:qFormat/>
    <w:rsid w:val="00F5644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44C"/>
    <w:rPr>
      <w:sz w:val="18"/>
      <w:szCs w:val="18"/>
    </w:rPr>
  </w:style>
  <w:style w:type="paragraph" w:styleId="a4">
    <w:name w:val="footer"/>
    <w:basedOn w:val="a"/>
    <w:link w:val="Char0"/>
    <w:uiPriority w:val="99"/>
    <w:unhideWhenUsed/>
    <w:rsid w:val="00F5644C"/>
    <w:pPr>
      <w:tabs>
        <w:tab w:val="center" w:pos="4153"/>
        <w:tab w:val="right" w:pos="8306"/>
      </w:tabs>
      <w:snapToGrid w:val="0"/>
      <w:jc w:val="left"/>
    </w:pPr>
    <w:rPr>
      <w:sz w:val="18"/>
      <w:szCs w:val="18"/>
    </w:rPr>
  </w:style>
  <w:style w:type="character" w:customStyle="1" w:styleId="Char0">
    <w:name w:val="页脚 Char"/>
    <w:basedOn w:val="a0"/>
    <w:link w:val="a4"/>
    <w:uiPriority w:val="99"/>
    <w:rsid w:val="00F5644C"/>
    <w:rPr>
      <w:sz w:val="18"/>
      <w:szCs w:val="18"/>
    </w:rPr>
  </w:style>
  <w:style w:type="character" w:styleId="a5">
    <w:name w:val="annotation reference"/>
    <w:uiPriority w:val="99"/>
    <w:semiHidden/>
    <w:unhideWhenUsed/>
    <w:qFormat/>
    <w:rsid w:val="00F5644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2021-09-06T04:04:00Z</dcterms:created>
  <dcterms:modified xsi:type="dcterms:W3CDTF">2021-09-09T01:16:00Z</dcterms:modified>
</cp:coreProperties>
</file>